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9FCE0A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6DF0">
        <w:rPr>
          <w:rFonts w:cs="Arial"/>
          <w:b/>
          <w:bCs/>
          <w:szCs w:val="24"/>
        </w:rPr>
        <w:t>1</w:t>
      </w:r>
      <w:r w:rsidR="003A39D8">
        <w:rPr>
          <w:rFonts w:cs="Arial"/>
          <w:b/>
          <w:bCs/>
          <w:szCs w:val="24"/>
        </w:rPr>
        <w:t>6</w:t>
      </w:r>
      <w:r w:rsidR="004D4160" w:rsidRPr="004D4160">
        <w:rPr>
          <w:rFonts w:cs="Arial"/>
          <w:b/>
          <w:bCs/>
          <w:szCs w:val="24"/>
        </w:rPr>
        <w:t>/</w:t>
      </w:r>
      <w:r w:rsidR="003A39D8">
        <w:rPr>
          <w:rFonts w:cs="Arial"/>
          <w:b/>
          <w:bCs/>
          <w:szCs w:val="24"/>
        </w:rPr>
        <w:t>V</w:t>
      </w:r>
      <w:r w:rsidR="004D4160" w:rsidRPr="004D4160">
        <w:rPr>
          <w:rFonts w:cs="Arial"/>
          <w:b/>
          <w:bCs/>
          <w:szCs w:val="24"/>
        </w:rPr>
        <w:t>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FD8A3B7" w:rsidR="00074D31" w:rsidRPr="00FA663D" w:rsidRDefault="00074D31" w:rsidP="00264F00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2F6DF0" w:rsidRPr="002F6DF0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</w:p>
    <w:p w14:paraId="3B06E599" w14:textId="1A07DE94" w:rsidR="00074D31" w:rsidRPr="002F6DF0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</w:p>
    <w:p w14:paraId="05BF6140" w14:textId="0ADEFFC8" w:rsidR="002F6DF0" w:rsidRDefault="003A39D8" w:rsidP="002F6DF0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</w:t>
      </w:r>
      <w:r w:rsidR="002F6DF0">
        <w:rPr>
          <w:rFonts w:cs="Arial"/>
          <w:b/>
          <w:bCs/>
          <w:szCs w:val="24"/>
        </w:rPr>
        <w:t xml:space="preserve">kładającą się z: </w:t>
      </w:r>
    </w:p>
    <w:p w14:paraId="7D58B662" w14:textId="1DFBDF91" w:rsidR="002F6DF0" w:rsidRDefault="002F6DF0" w:rsidP="002F6DF0">
      <w:pPr>
        <w:pStyle w:val="Akapitzlist"/>
        <w:numPr>
          <w:ilvl w:val="0"/>
          <w:numId w:val="1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F6DF0">
        <w:rPr>
          <w:rFonts w:cs="Arial"/>
          <w:b/>
          <w:bCs/>
          <w:szCs w:val="24"/>
        </w:rPr>
        <w:t>Wynagrodzenia ryczałtowego za wykonane prace utrzymaniowe, obejmujące także wynagrodzenie za wszelkie prace niezbędne do wykonania celem zapewnienia bezpiecznej i bezawaryjnej pracy w kwocie</w:t>
      </w:r>
      <w:r>
        <w:rPr>
          <w:rFonts w:cs="Arial"/>
          <w:szCs w:val="24"/>
        </w:rPr>
        <w:t xml:space="preserve"> (wpisać kwotę brutto): </w:t>
      </w:r>
      <w:r>
        <w:rPr>
          <w:rFonts w:cs="Arial"/>
          <w:szCs w:val="24"/>
        </w:rPr>
        <w:tab/>
      </w:r>
      <w:r w:rsidRPr="002F6DF0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>,</w:t>
      </w:r>
    </w:p>
    <w:p w14:paraId="59AABAE8" w14:textId="0B6A01E4" w:rsidR="002F6DF0" w:rsidRPr="00432F9D" w:rsidRDefault="002F6DF0" w:rsidP="002F6DF0">
      <w:pPr>
        <w:pStyle w:val="Akapitzlist"/>
        <w:numPr>
          <w:ilvl w:val="0"/>
          <w:numId w:val="1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F6DF0">
        <w:rPr>
          <w:rFonts w:cs="Arial"/>
          <w:b/>
          <w:bCs/>
          <w:szCs w:val="24"/>
        </w:rPr>
        <w:t>Wynagrodzenie za zlecenia dodatkowe</w:t>
      </w:r>
      <w:r>
        <w:rPr>
          <w:rFonts w:cs="Arial"/>
          <w:szCs w:val="24"/>
        </w:rPr>
        <w:t xml:space="preserve">, w kwocie nieprzekraczającej </w:t>
      </w:r>
      <w:r w:rsidR="003A39D8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0% wynagrodzenia ryczałtowego, o którym mowa w pkt a) powyżej, tj. w kwocie (wpisać kwotę brutto): </w:t>
      </w:r>
      <w:r>
        <w:rPr>
          <w:rFonts w:cs="Arial"/>
          <w:szCs w:val="24"/>
        </w:rPr>
        <w:tab/>
      </w:r>
      <w:r w:rsidRPr="002F6DF0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>.</w:t>
      </w:r>
    </w:p>
    <w:p w14:paraId="37452F7A" w14:textId="05FD74FA" w:rsidR="00505ED5" w:rsidRPr="00505ED5" w:rsidRDefault="002F6DF0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0" w:name="_Hlk192853306"/>
      <w:r>
        <w:t>Czas zakończenia usuwania awarii i usterek systemu parkingowego</w:t>
      </w:r>
      <w:bookmarkEnd w:id="0"/>
      <w:r w:rsidR="00505ED5" w:rsidRPr="00505ED5">
        <w:t>:</w:t>
      </w:r>
    </w:p>
    <w:p w14:paraId="743B3F32" w14:textId="1263CC5D" w:rsidR="00505ED5" w:rsidRDefault="002F6DF0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Powyżej 4 godzin</w:t>
      </w:r>
      <w:r w:rsidR="00421843">
        <w:rPr>
          <w:b/>
          <w:bCs/>
        </w:rPr>
        <w:t>,</w:t>
      </w:r>
    </w:p>
    <w:p w14:paraId="3A9DEBE7" w14:textId="0FE595DF" w:rsidR="00421843" w:rsidRPr="00505ED5" w:rsidRDefault="002F6DF0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Powyżej 2 godzin do 4 godzin</w:t>
      </w:r>
      <w:r w:rsidR="00421843">
        <w:rPr>
          <w:b/>
          <w:bCs/>
        </w:rPr>
        <w:t>,</w:t>
      </w:r>
    </w:p>
    <w:p w14:paraId="2CEFFA67" w14:textId="2AA39160" w:rsidR="0013502A" w:rsidRDefault="002F6DF0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Do 2 godzin,</w:t>
      </w:r>
    </w:p>
    <w:p w14:paraId="60773166" w14:textId="19032F95" w:rsidR="002F6DF0" w:rsidRDefault="00421843" w:rsidP="002F6DF0">
      <w:pPr>
        <w:tabs>
          <w:tab w:val="right" w:pos="9072"/>
        </w:tabs>
        <w:ind w:left="284"/>
        <w:rPr>
          <w:rFonts w:eastAsia="Calibri" w:cs="Arial"/>
          <w:szCs w:val="24"/>
        </w:rPr>
      </w:pPr>
      <w:bookmarkStart w:id="1" w:name="_Hlk192853653"/>
      <w:r w:rsidRPr="00421843">
        <w:rPr>
          <w:rFonts w:eastAsia="Calibri" w:cs="Arial"/>
          <w:szCs w:val="24"/>
        </w:rPr>
        <w:t>Dwie propozycje należy wykreślić a zostawić tylko jedną właściwą. W przypadku niewskazania proponowane</w:t>
      </w:r>
      <w:r w:rsidR="002F6DF0">
        <w:rPr>
          <w:rFonts w:eastAsia="Calibri" w:cs="Arial"/>
          <w:szCs w:val="24"/>
        </w:rPr>
        <w:t>go c</w:t>
      </w:r>
      <w:r w:rsidR="002F6DF0" w:rsidRPr="002F6DF0">
        <w:rPr>
          <w:rFonts w:eastAsia="Calibri" w:cs="Arial"/>
          <w:szCs w:val="24"/>
        </w:rPr>
        <w:t>zas</w:t>
      </w:r>
      <w:r w:rsidR="002F6DF0">
        <w:rPr>
          <w:rFonts w:eastAsia="Calibri" w:cs="Arial"/>
          <w:szCs w:val="24"/>
        </w:rPr>
        <w:t>u</w:t>
      </w:r>
      <w:r w:rsidR="002F6DF0" w:rsidRPr="002F6DF0">
        <w:rPr>
          <w:rFonts w:eastAsia="Calibri" w:cs="Arial"/>
          <w:szCs w:val="24"/>
        </w:rPr>
        <w:t xml:space="preserve"> zakończenia usuwania awarii i usterek systemu parkingowego</w:t>
      </w:r>
      <w:r w:rsidRPr="00421843">
        <w:rPr>
          <w:rFonts w:eastAsia="Calibri" w:cs="Arial"/>
          <w:szCs w:val="24"/>
        </w:rPr>
        <w:t>, wykreślenie jedne</w:t>
      </w:r>
      <w:r w:rsidR="000D3466">
        <w:rPr>
          <w:rFonts w:eastAsia="Calibri" w:cs="Arial"/>
          <w:szCs w:val="24"/>
        </w:rPr>
        <w:t>go</w:t>
      </w:r>
      <w:r w:rsidRPr="00421843">
        <w:rPr>
          <w:rFonts w:eastAsia="Calibri" w:cs="Arial"/>
          <w:szCs w:val="24"/>
        </w:rPr>
        <w:t xml:space="preserve"> lub wszystkich zaproponowanych </w:t>
      </w:r>
      <w:r w:rsidR="002F6DF0">
        <w:rPr>
          <w:rFonts w:eastAsia="Calibri" w:cs="Arial"/>
          <w:szCs w:val="24"/>
        </w:rPr>
        <w:lastRenderedPageBreak/>
        <w:t>czasów</w:t>
      </w:r>
      <w:r w:rsidRPr="00421843">
        <w:rPr>
          <w:rFonts w:eastAsia="Calibri" w:cs="Arial"/>
          <w:szCs w:val="24"/>
        </w:rPr>
        <w:t>, Zamawiający uzna, że Wykonawca zaproponował naj</w:t>
      </w:r>
      <w:r w:rsidR="002F6DF0">
        <w:rPr>
          <w:rFonts w:eastAsia="Calibri" w:cs="Arial"/>
          <w:szCs w:val="24"/>
        </w:rPr>
        <w:t>dłuższy c</w:t>
      </w:r>
      <w:r w:rsidR="002F6DF0" w:rsidRPr="002F6DF0">
        <w:rPr>
          <w:rFonts w:eastAsia="Calibri" w:cs="Arial"/>
          <w:szCs w:val="24"/>
        </w:rPr>
        <w:t>zas zakończenia usuwania awarii i usterek systemu parkingowego</w:t>
      </w:r>
      <w:r w:rsidRPr="00421843">
        <w:rPr>
          <w:rFonts w:eastAsia="Calibri" w:cs="Arial"/>
          <w:szCs w:val="24"/>
        </w:rPr>
        <w:t xml:space="preserve">, tj. </w:t>
      </w:r>
      <w:r w:rsidR="002F6DF0">
        <w:rPr>
          <w:rFonts w:eastAsia="Calibri" w:cs="Arial"/>
          <w:szCs w:val="24"/>
        </w:rPr>
        <w:t>powyżej 4 godzin.</w:t>
      </w:r>
      <w:bookmarkEnd w:id="1"/>
    </w:p>
    <w:p w14:paraId="5267ED03" w14:textId="02E8EC52" w:rsidR="002F6DF0" w:rsidRDefault="002F6DF0" w:rsidP="002F6DF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Czas zakończenia usuwania awarii i usterek systemu zajętości:</w:t>
      </w:r>
    </w:p>
    <w:p w14:paraId="79DF2E02" w14:textId="56C41613" w:rsidR="002F6DF0" w:rsidRDefault="002F6DF0" w:rsidP="002F6DF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Powyżej 24 godzin,</w:t>
      </w:r>
    </w:p>
    <w:p w14:paraId="1148B400" w14:textId="070D3009" w:rsidR="002F6DF0" w:rsidRDefault="002F6DF0" w:rsidP="002F6DF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Powyżej 12 godzin do 24 godzin,</w:t>
      </w:r>
    </w:p>
    <w:p w14:paraId="18C594DB" w14:textId="6E9FBD88" w:rsidR="002F6DF0" w:rsidRDefault="002F6DF0" w:rsidP="002F6DF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Do 12 godzin. </w:t>
      </w:r>
    </w:p>
    <w:p w14:paraId="3688010A" w14:textId="135DF838" w:rsidR="002F6DF0" w:rsidRPr="002F6DF0" w:rsidRDefault="002F6DF0" w:rsidP="002F6DF0">
      <w:pPr>
        <w:pStyle w:val="Akapitzlist"/>
        <w:tabs>
          <w:tab w:val="right" w:pos="9072"/>
        </w:tabs>
        <w:ind w:left="284"/>
        <w:rPr>
          <w:rFonts w:eastAsia="Calibri" w:cs="Arial"/>
          <w:szCs w:val="24"/>
        </w:rPr>
      </w:pPr>
      <w:r w:rsidRPr="002F6DF0">
        <w:rPr>
          <w:rFonts w:eastAsia="Calibri" w:cs="Arial"/>
          <w:szCs w:val="24"/>
        </w:rPr>
        <w:t xml:space="preserve">Dwie propozycje należy wykreślić a zostawić tylko jedną właściwą. W przypadku niewskazania proponowanego czasu zakończenia usuwania awarii i usterek systemu </w:t>
      </w:r>
      <w:r>
        <w:rPr>
          <w:rFonts w:eastAsia="Calibri" w:cs="Arial"/>
          <w:szCs w:val="24"/>
        </w:rPr>
        <w:t>zajętości</w:t>
      </w:r>
      <w:r w:rsidRPr="002F6DF0">
        <w:rPr>
          <w:rFonts w:eastAsia="Calibri" w:cs="Arial"/>
          <w:szCs w:val="24"/>
        </w:rPr>
        <w:t>, wykreślenie jedne</w:t>
      </w:r>
      <w:r>
        <w:rPr>
          <w:rFonts w:eastAsia="Calibri" w:cs="Arial"/>
          <w:szCs w:val="24"/>
        </w:rPr>
        <w:t>go</w:t>
      </w:r>
      <w:r w:rsidRPr="002F6DF0">
        <w:rPr>
          <w:rFonts w:eastAsia="Calibri" w:cs="Arial"/>
          <w:szCs w:val="24"/>
        </w:rPr>
        <w:t xml:space="preserve"> lub wszystkich zaproponowanych czasów, Zamawiający uzna, że Wykonawca zaproponował najdłuższy czas zakończenia usuwania awarii i usterek systemu </w:t>
      </w:r>
      <w:r w:rsidR="000D3466">
        <w:rPr>
          <w:rFonts w:eastAsia="Calibri" w:cs="Arial"/>
          <w:szCs w:val="24"/>
        </w:rPr>
        <w:t>zajętości</w:t>
      </w:r>
      <w:r w:rsidRPr="002F6DF0">
        <w:rPr>
          <w:rFonts w:eastAsia="Calibri" w:cs="Arial"/>
          <w:szCs w:val="24"/>
        </w:rPr>
        <w:t xml:space="preserve">, tj. powyżej </w:t>
      </w:r>
      <w:r w:rsidR="000D3466">
        <w:rPr>
          <w:rFonts w:eastAsia="Calibri" w:cs="Arial"/>
          <w:szCs w:val="24"/>
        </w:rPr>
        <w:t>2</w:t>
      </w:r>
      <w:r w:rsidRPr="002F6DF0">
        <w:rPr>
          <w:rFonts w:eastAsia="Calibri" w:cs="Arial"/>
          <w:szCs w:val="24"/>
        </w:rPr>
        <w:t>4 godzin.</w:t>
      </w:r>
    </w:p>
    <w:p w14:paraId="5B648D24" w14:textId="2DBD64C8" w:rsidR="00A8337B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>zamówienia:</w:t>
      </w:r>
      <w:r w:rsidR="004B4171">
        <w:rPr>
          <w:rFonts w:cs="Arial"/>
          <w:szCs w:val="24"/>
        </w:rPr>
        <w:t xml:space="preserve"> </w:t>
      </w:r>
      <w:r w:rsidR="004B4171">
        <w:rPr>
          <w:rFonts w:cs="Arial"/>
          <w:b/>
          <w:bCs/>
          <w:szCs w:val="24"/>
        </w:rPr>
        <w:t>24 miesiące od dnia 30.06.2025 r. dla obu Parkingów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1A2CE121" w14:textId="77777777" w:rsidR="002F6DF0" w:rsidRDefault="002F6DF0" w:rsidP="002F6DF0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7999BE77" w:rsidR="005A69EB" w:rsidRPr="002F6DF0" w:rsidRDefault="005A69EB" w:rsidP="002F6DF0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 w:rsidRPr="002F6DF0">
        <w:rPr>
          <w:rFonts w:cs="Arial"/>
          <w:szCs w:val="24"/>
        </w:rPr>
        <w:t>Nazw</w:t>
      </w:r>
      <w:r w:rsidR="001B431E" w:rsidRPr="002F6DF0">
        <w:rPr>
          <w:rFonts w:cs="Arial"/>
          <w:szCs w:val="24"/>
        </w:rPr>
        <w:t>y</w:t>
      </w:r>
      <w:r w:rsidRPr="002F6DF0">
        <w:rPr>
          <w:rFonts w:cs="Arial"/>
          <w:szCs w:val="24"/>
        </w:rPr>
        <w:t xml:space="preserve"> firm, któr</w:t>
      </w:r>
      <w:r w:rsidR="001B431E" w:rsidRPr="002F6DF0">
        <w:rPr>
          <w:rFonts w:cs="Arial"/>
          <w:szCs w:val="24"/>
        </w:rPr>
        <w:t>e</w:t>
      </w:r>
      <w:r w:rsidRPr="002F6DF0">
        <w:rPr>
          <w:rFonts w:cs="Arial"/>
          <w:szCs w:val="24"/>
        </w:rPr>
        <w:t xml:space="preserve"> </w:t>
      </w:r>
      <w:r w:rsidR="001B431E" w:rsidRPr="002F6DF0">
        <w:rPr>
          <w:rFonts w:cs="Arial"/>
          <w:szCs w:val="24"/>
        </w:rPr>
        <w:t>będą</w:t>
      </w:r>
      <w:r w:rsidRPr="002F6DF0">
        <w:rPr>
          <w:rFonts w:cs="Arial"/>
          <w:szCs w:val="24"/>
        </w:rPr>
        <w:t xml:space="preserve"> realizował</w:t>
      </w:r>
      <w:r w:rsidR="001B431E" w:rsidRPr="002F6DF0">
        <w:rPr>
          <w:rFonts w:cs="Arial"/>
          <w:szCs w:val="24"/>
        </w:rPr>
        <w:t>y</w:t>
      </w:r>
      <w:r w:rsidRPr="002F6DF0">
        <w:rPr>
          <w:rFonts w:cs="Arial"/>
          <w:szCs w:val="24"/>
        </w:rPr>
        <w:t xml:space="preserve"> </w:t>
      </w:r>
      <w:r w:rsidR="00A61316" w:rsidRPr="002F6DF0">
        <w:rPr>
          <w:rFonts w:cs="Arial"/>
          <w:szCs w:val="24"/>
        </w:rPr>
        <w:t>usługi</w:t>
      </w:r>
      <w:r w:rsidRPr="002F6DF0">
        <w:rPr>
          <w:rFonts w:cs="Arial"/>
          <w:szCs w:val="24"/>
        </w:rPr>
        <w:t xml:space="preserve"> wyszczególnione w punkcie powyżej, </w:t>
      </w:r>
      <w:r w:rsidR="00A9441D" w:rsidRPr="002F6DF0">
        <w:rPr>
          <w:rFonts w:cs="Arial"/>
          <w:szCs w:val="24"/>
        </w:rPr>
        <w:br/>
      </w:r>
      <w:r w:rsidRPr="002F6DF0">
        <w:rPr>
          <w:rFonts w:cs="Arial"/>
          <w:szCs w:val="24"/>
        </w:rPr>
        <w:t xml:space="preserve">o ile są znane Wykonawcy (podać </w:t>
      </w:r>
      <w:r w:rsidR="00157281" w:rsidRPr="002F6DF0">
        <w:rPr>
          <w:rFonts w:cs="Arial"/>
          <w:szCs w:val="24"/>
        </w:rPr>
        <w:t>n</w:t>
      </w:r>
      <w:r w:rsidRPr="002F6DF0"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8D16C3" w:rsidR="00740917" w:rsidRPr="00421843" w:rsidRDefault="005A69EB" w:rsidP="0042184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4AC7BAE" w14:textId="23D47873" w:rsidR="000D3466" w:rsidRDefault="000D3466" w:rsidP="000D346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0D3466"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017709DD" w14:textId="77777777" w:rsidR="000D3466" w:rsidRPr="000D3466" w:rsidRDefault="000D3466" w:rsidP="000D3466">
      <w:pPr>
        <w:pStyle w:val="Akapitzlist"/>
        <w:numPr>
          <w:ilvl w:val="0"/>
          <w:numId w:val="1"/>
        </w:numPr>
        <w:tabs>
          <w:tab w:val="right" w:pos="9072"/>
        </w:tabs>
        <w:ind w:left="284"/>
        <w:rPr>
          <w:rFonts w:cs="Arial"/>
          <w:szCs w:val="24"/>
        </w:rPr>
      </w:pPr>
      <w:r w:rsidRPr="000D3466">
        <w:rPr>
          <w:rFonts w:cs="Arial"/>
          <w:szCs w:val="24"/>
        </w:rPr>
        <w:lastRenderedPageBreak/>
        <w:t xml:space="preserve">Wadium w kwocie określonej w SWZ wniesiono w formie (wpisać formę): </w:t>
      </w:r>
    </w:p>
    <w:p w14:paraId="6EC0646D" w14:textId="79AED6C3" w:rsidR="000D3466" w:rsidRDefault="000D3466" w:rsidP="000D3466">
      <w:pPr>
        <w:pStyle w:val="Akapitzlist"/>
        <w:tabs>
          <w:tab w:val="right" w:leader="underscore" w:pos="1701"/>
          <w:tab w:val="right" w:leader="underscore" w:pos="2835"/>
          <w:tab w:val="right" w:leader="underscore" w:pos="4536"/>
          <w:tab w:val="right" w:pos="9072"/>
        </w:tabs>
        <w:spacing w:before="0" w:after="120"/>
        <w:ind w:left="284"/>
        <w:contextualSpacing w:val="0"/>
        <w:rPr>
          <w:rFonts w:cs="Arial"/>
          <w:szCs w:val="24"/>
        </w:rPr>
      </w:pPr>
      <w:r w:rsidRPr="000D3466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C7739A9" w14:textId="3BB25D2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717948"/>
    <w:multiLevelType w:val="hybridMultilevel"/>
    <w:tmpl w:val="12384336"/>
    <w:lvl w:ilvl="0" w:tplc="DA5EF606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1400D0"/>
    <w:multiLevelType w:val="hybridMultilevel"/>
    <w:tmpl w:val="C82A8F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4C9E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DE62C9"/>
    <w:multiLevelType w:val="hybridMultilevel"/>
    <w:tmpl w:val="E7D693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EF44B9"/>
    <w:multiLevelType w:val="hybridMultilevel"/>
    <w:tmpl w:val="B3D6B51A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2"/>
  </w:num>
  <w:num w:numId="2" w16cid:durableId="1603412604">
    <w:abstractNumId w:val="8"/>
  </w:num>
  <w:num w:numId="3" w16cid:durableId="1387878557">
    <w:abstractNumId w:val="13"/>
  </w:num>
  <w:num w:numId="4" w16cid:durableId="113333574">
    <w:abstractNumId w:val="6"/>
  </w:num>
  <w:num w:numId="5" w16cid:durableId="531303244">
    <w:abstractNumId w:val="0"/>
  </w:num>
  <w:num w:numId="6" w16cid:durableId="1903322380">
    <w:abstractNumId w:val="9"/>
  </w:num>
  <w:num w:numId="7" w16cid:durableId="1004043682">
    <w:abstractNumId w:val="2"/>
  </w:num>
  <w:num w:numId="8" w16cid:durableId="1808206300">
    <w:abstractNumId w:val="16"/>
  </w:num>
  <w:num w:numId="9" w16cid:durableId="941377722">
    <w:abstractNumId w:val="11"/>
  </w:num>
  <w:num w:numId="10" w16cid:durableId="497304894">
    <w:abstractNumId w:val="14"/>
  </w:num>
  <w:num w:numId="11" w16cid:durableId="1621107203">
    <w:abstractNumId w:val="17"/>
  </w:num>
  <w:num w:numId="12" w16cid:durableId="1237865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3"/>
  </w:num>
  <w:num w:numId="14" w16cid:durableId="797843524">
    <w:abstractNumId w:val="4"/>
  </w:num>
  <w:num w:numId="15" w16cid:durableId="83993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1554932">
    <w:abstractNumId w:val="15"/>
  </w:num>
  <w:num w:numId="18" w16cid:durableId="843396227">
    <w:abstractNumId w:val="7"/>
  </w:num>
  <w:num w:numId="19" w16cid:durableId="21314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0D3466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1D6052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2F6DF0"/>
    <w:rsid w:val="00300524"/>
    <w:rsid w:val="0030077E"/>
    <w:rsid w:val="003334D5"/>
    <w:rsid w:val="003406C4"/>
    <w:rsid w:val="00365828"/>
    <w:rsid w:val="003A39D8"/>
    <w:rsid w:val="003A4D8B"/>
    <w:rsid w:val="003B266A"/>
    <w:rsid w:val="003C7B82"/>
    <w:rsid w:val="003F3489"/>
    <w:rsid w:val="00420DC5"/>
    <w:rsid w:val="00421843"/>
    <w:rsid w:val="00432F9D"/>
    <w:rsid w:val="00462EAE"/>
    <w:rsid w:val="004B3988"/>
    <w:rsid w:val="004B4171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27E1C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35F8D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EF56CF"/>
    <w:rsid w:val="00F02BF5"/>
    <w:rsid w:val="00F04CFA"/>
    <w:rsid w:val="00F069EB"/>
    <w:rsid w:val="00F64F96"/>
    <w:rsid w:val="00F70AE5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2</cp:revision>
  <cp:lastPrinted>2025-02-20T13:22:00Z</cp:lastPrinted>
  <dcterms:created xsi:type="dcterms:W3CDTF">2025-05-09T08:08:00Z</dcterms:created>
  <dcterms:modified xsi:type="dcterms:W3CDTF">2025-05-09T08:08:00Z</dcterms:modified>
</cp:coreProperties>
</file>