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88" w:rsidRPr="008D7CF3" w:rsidRDefault="00210688" w:rsidP="00754FBA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Numer referencyjny postępowania: </w:t>
      </w:r>
    </w:p>
    <w:p w:rsidR="00210688" w:rsidRDefault="00210688" w:rsidP="00754FBA">
      <w:pPr>
        <w:spacing w:line="276" w:lineRule="auto"/>
        <w:ind w:right="5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WSZ-EP-12/2025</w:t>
      </w:r>
    </w:p>
    <w:p w:rsidR="00210688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1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726235">
        <w:rPr>
          <w:rFonts w:ascii="Calibri" w:hAnsi="Calibri" w:cs="Calibri"/>
          <w:b/>
          <w:sz w:val="20"/>
          <w:szCs w:val="20"/>
        </w:rPr>
        <w:t xml:space="preserve">Pakiet  1 – Kolumna laparoskopowa z torem wizyjnym </w:t>
      </w:r>
      <w:r w:rsidRPr="00726235">
        <w:rPr>
          <w:rFonts w:ascii="Calibri" w:hAnsi="Calibri" w:cs="Calibri"/>
          <w:b/>
          <w:bCs/>
          <w:sz w:val="20"/>
          <w:szCs w:val="20"/>
        </w:rPr>
        <w:t xml:space="preserve">z funkcją detekcji zieleni indocyjaninowej (ICG) oraz zestawem urządzeń i akcesoriów do wideo wspomaganego leczenia przetok odbytu (VAAFT) </w:t>
      </w:r>
      <w:r w:rsidRPr="00726235">
        <w:rPr>
          <w:rFonts w:ascii="Calibri" w:hAnsi="Calibri" w:cs="Calibri"/>
          <w:b/>
          <w:sz w:val="20"/>
          <w:szCs w:val="20"/>
        </w:rPr>
        <w:t>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"/>
        <w:gridCol w:w="460"/>
        <w:gridCol w:w="8743"/>
      </w:tblGrid>
      <w:tr w:rsidR="00210688" w:rsidRPr="009B005C" w:rsidTr="00164A70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164A70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Tor wizyjny z funkcją detekcji zieleni indocyjaninowej (ICG) wraz z zestawem urządzeń i akcesoriów do wideo wspomaganego leczenia przetok odbytu (VAAFT) – 1 zest.; urządzenia fabrycznie nowe, nie dopuszcza się urządzeń używanych, podemonstracyjnych. Rok produkcji 2024 - 2025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D4307B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Monitor operacyjny 4K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pracujący wykorzystujący technologię 4K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Rozmiar przekątnej min.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30”</w:t>
              </w:r>
            </w:smartTag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Mocowanie VESA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D4307B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Sterownik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do podłączenia oferowanej głowicy kamery w technologii 4K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min. 3 gniazda USB umożliwiające podłączenie urządzeń peryferyjnych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Min. 1 gniazdo USB umieszczone na panelu przednim sterownika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1 wyjście wideo 12G-SDI (3840 x 2160p, 50/60 Hz)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2 wyjścia wideo Display Port (3840 x 2160p, 50/60 Hz)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1 wyjście wideo DVI-D (1920 x 1080p, 50/60 Hz)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w zintegrowane gniazdo do komunikacji z oferowanym insuflatorem CO2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w zintegrowane gniazdo do komunikacji z oferowanym źródłem światła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pracy sterownika kamery umożliwiający obrazowanie efektu fluorescencji zieleni indocyjaninowej (ICG) w zakresie bliskiej podczerwieni (NIR) z wykorzystaniem oferowanej głowicy kamery 4K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Menu obsługowe sterownika kamery wyświetlane na ekranie monitora operacyjnego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Menu obsługowe sterownika wywoływane poprzez przycisk głowicy oraz poprzez zewnętrzną klawiaturę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zoom-u cyfrowego ustawiana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poprzez menu obsługowe sterownika kamery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, dostępnych min. 5 poziomów ustawień zoom-u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Regulacji jasności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poprzez menu obsługowe sterownika kamery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, dostępne min. 3 poziomy regulacji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Funkcje zapisu zdjęć i filmów w pamięci PenDrive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Zapis filmów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Zapis zdjęć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obrotu obrazu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przypisania min. dwóch funkcji do każdego z programowanych przycisków głowicy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zaprogramowania funkcji uruchamiania zapisu zdjęcia i filmu wideo pod przyciskiem głowicy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Ręczna regulacja intensywności światła źródła światła LED poprzez menu sterownika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automatycznej regulacji intensywności światła źródła światła LED włączany poprzez menu obsługowe sterownika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wyświetlania aktualnego ciśnienia i przepływu CO2 oferowanego insuflatora na ekranie monitora operacyjnego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wyświetlania poziomu intensywności światła oferowanego źródła światła LED na ekranie monitora operacyjnego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Zintegrowany tryb wizualizacji wykorzystujący cyfrowe odfiltrowanie koloru czerwonego z obrazu wyświetlanego na ekranie monitora operacyjnego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Wykorzystanie trybu wizualizacji niezależne od zastosowanego źródła światła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Funkcjonalność jednoczesnego wyświetlania dwóch obrazów obok siebie na ekranie monitora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wyświetlania wirtualnej siatki na ekranie monitora operacyjnego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wyświetlania wirtualnego wskaźnika punktowego na ekranie monitora operacyjnego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tworzenia i zapisu w pamięci wewnętrznej sterownika kamery profili użytkowników z indywidualnymi ustawieniami sterownika obejmującymi co najmniej indywidualną konfigurację menu sterownika kamery; indywidualne przypisanie funkcji dostępnych bezpośrednio pod przyciskami głowicy kamery; zapis min. 10 indywidualnych profili użytkowników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Funkcjonalność importu / eksportu profili użytkowników z / do pamięci PenDrive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Konstrukcja sterownika kamery umożliwiająca podłączenie dedykowanego sztywnego wideoendoskopu 4K/3D ICG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90DA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Głowica kamery 4K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Głowicy kamery kompatybilna z oferowanym sterownikiem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Praca głowicy kamery w standardzie rozdzielczości min. 4K UHD,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rozdzielczość min. 3840 x 2160 pikseli,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50/60 Hz, skanowanie progresywne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Zakres pracy głowicy kamery umożliwiający obrazowanie efektu fluorescencji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zieleni indocyjaninowej (ICG) w zakresie bliskiej podczerwieni (NIR)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Głowica kamery wyposażona w min. 2 programowalne przyciski sterujące funkcjami sterownika kamery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90DA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Źródło światła LED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Źródło światła wyposażone w ekran dotykowy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Źródło światła wyposażone w tryb światła białego i tryby światła w bliskiej podczerwieni (NIR) przeznaczone do obrazowania fluorescencyjnego z użyciem ICG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Dostępne tryby światła bliskiej podczerwieni co najmniej: tryb monochromatyczny - obraz uzyskany z fluorescencji; nałożony (overlay) - obraz w świetle białym z nałożonym obrazem fluorescencyjnym; mapa intensywności - obraz w świetle białym z nałożonym obrazem fluorescencyjnym z nałożoną kolorystyką w zależności od natężenia fluorescencji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obsługowe sterownika kamery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Insuflator CO2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Obsługa insuflatora poprzez zintegrowany ekran dotykowy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Insuflator wyposażony w wysokoprzepływowy tryb pracy z regulacją przepływu w zakresie od nie więcej niż 1 do nie mniej niż 35 l/min.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Insuflator wyposażony w pediatryczny tryb pracy z regulacją przepływu w zakresie od nie więcej niż 0,1 do nie mniej niż 15 l/min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Regulacja ciśnienia w zakresie od nie więcej niż 1 do nie mniej niż 30 mmHg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ilości podanego CO2 do pacjenta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wartości ustawionej oraz aktualnej ciśnienia insuflacji CO2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wartości ustawionej oraz aktualnej przepływu CO2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ciśnienia CO2 w butli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Insuflator wyposażony w gniazdo komunikacyjne do bezpośredniego połączenia z oferowanym sterownikiem kamery w celu wyświetlania ciśnienia i przepływu CO2 insuflatora na ekranie monitora 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Dren insuflacyjny sterylizowalny – 1 szt.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Dren insuflacyjny z filtrem CO2, jednorazowy, sterylny - 10 szt.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Filtr CO2 – 50 szt.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Przewód do podłączenia insuflatora do źródła CO2 – 1 szt.</w:t>
            </w:r>
          </w:p>
        </w:tc>
      </w:tr>
      <w:tr w:rsidR="00210688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Filtr z drenem do ewakuacji dymu z pola operacyjnego przez trokar, jednorazowy, sterylny - 10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Pompa płucząca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Płucząca pompa z oprogramowaniem dedykowanym do operacji laparoskopowych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Obsługa pompy poprzez kolorowy ekran dotykowy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Wybór zastosowania pompy z menu z listą dziedzin i procedur wyświetlanej na ekranie dotykowym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automatycznego rozpoznawania drenu wraz z automatyczną aktywacją procedur wykorzystujących dany dren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prędkości płukania podczas laparoskopii w zakresie od nie więcej niż 100 do nie mniej niż 2500 ml/min.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prędkości płukania podczas laparoskopii w formie graficznej lub numerycznej na ekranie dotykowym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AD4851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Dren płuczący do pompy rolkowej, do trybu płukania z kontrolą przepływu, jednorazowy, sterylny, - 1 op.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Optyki laparoskopowe – 2 zestawy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Optyka laparoskopowa typu Hopkins umożliwiająca obrazowanie efektu fluorescencji zieleni indocyjaninowej (ICG) w zakresie bliskiej podczerwieni (NIR), śr.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10 mm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(+/-1mm), dł.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30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), kąt patrzenia 30°, autoklawowalna - 1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Optyka laparoskopowa typu Hopkins umożliwiająca obrazowanie efektu fluorescencji zieleni indocyjaninowej (ICG) w zakresie bliskiej podczerwieni (NIR), śr.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5 mm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(+/-1 0,5mm), dł.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30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(+/-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), kąt patrzenia 30°, autoklawowalna - 1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Światłowód, średnica 4,8-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5,0 mm</w:t>
              </w:r>
            </w:smartTag>
            <w:r w:rsidRPr="009B005C">
              <w:rPr>
                <w:rFonts w:ascii="Calibri" w:hAnsi="Calibri" w:cs="Calibri"/>
                <w:sz w:val="20"/>
                <w:szCs w:val="20"/>
              </w:rPr>
              <w:t xml:space="preserve">, długość min.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250 cm</w:t>
              </w:r>
            </w:smartTag>
            <w:r w:rsidRPr="009B005C">
              <w:rPr>
                <w:rFonts w:ascii="Calibri" w:hAnsi="Calibri" w:cs="Calibri"/>
                <w:sz w:val="20"/>
                <w:szCs w:val="20"/>
              </w:rPr>
              <w:t xml:space="preserve"> - 2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Kosz do mycia, sterylizacji i przechowywania optyki wraz ze światłowodem - 2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Monitor medyczny dla asysty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Przekątna ekran min. 25"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Rozdzielczość monitora min. 1920 x 1080 pikseli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Wejścia wideo min.: 2x DVI-D, 1x 3G-SDI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Wyjścia wideo min.: 1x DVI-D, 1x 3G-SDI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Mocowanie VESA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Wózek aparaturowy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Podstawa wyposażona w 4 koła, w tym co najmniej 2 z blokadą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Min. 2 półki 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Ramię lub wysięgnik do zamocowania monitora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Uchwyt do butli CO2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Wysięgnik na płyny irygacyjne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Stojak mobilny do monitora dla asysty - 1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Zestaw do </w:t>
            </w:r>
            <w:r w:rsidRPr="009B005C">
              <w:rPr>
                <w:rFonts w:ascii="Calibri" w:hAnsi="Calibri" w:cs="Calibri"/>
                <w:b/>
                <w:sz w:val="20"/>
                <w:szCs w:val="20"/>
              </w:rPr>
              <w:t xml:space="preserve">wideo wspomaganego leczenia przetok odbytu </w:t>
            </w: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VAAFT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Endoskop do wideo wspomaganego leczenia przetok odbytu oraz endoskopowych zabiegów torbieli włosowych, kąt patrzenia 8° (+/-1°), rozmiar tubusu roboczego 3,3 (+/-0,1mm)  x 4,7 mm(+/- 2 mm), dł. rob. 18 cm, autoklawowalny, wyposażony w: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 xml:space="preserve">- okular do podłączenia głowicy kamery osadzony pod kątem do osi endoskopu, 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prosty kanał roboczy dla instrumentów o śr. do 2,5 mm,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przyłącza z kranikami do podłączenia płukania,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przyłącze światłowodu,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odłączany uchwyt, z możliwością zamontowania do endoskopu w różnych pozycjach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obturator,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kosz druciany do mycia, sterylizacji oraz przechowywania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Elektroda koagulacyjna monopolarna, 7 Fr., dł. 53 cm (+/-1 cm) - 1 szt. 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Przewód HF do laparoskopowych instrumentów monopolarnych, długość min. 300 cm –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Szczoteczka do przetoki, rozbieralna na: uchwyt, płaszcz, wymienny wkład szczoteczki (w zestawie 3 wkłady szczoteczek o różnych rozmiarach) - 1 komplet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Wymienny wkład szczoteczki o średnicy 4 mm –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Wymienny wkład szczoteczki o średnicy 4,5 mm – 1 szt.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Wymienny wkład szczoteczki o średnicy 5 mm – 1szt. 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Uszczelka kanału roboczego, do instrumentów 4-10Fr., jednorazowa, sterylna, op. 10 szt. – 1 op.</w:t>
            </w:r>
          </w:p>
        </w:tc>
      </w:tr>
      <w:tr w:rsidR="00210688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88" w:rsidRPr="009B005C" w:rsidRDefault="00210688" w:rsidP="00D604CB">
            <w:pP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Kleszcze chwytające typu Reddick-Olsen, obie bransze ruchome; monopolarne, obrotowe, rozbieralne, komplet: uchwyt plastikowy, tubus izolowany z przyłączem do przepłukiwania oraz wkładem roboczym; śr. 2 mm, dł. 30 cm – 1 szt.</w:t>
            </w:r>
          </w:p>
        </w:tc>
      </w:tr>
    </w:tbl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2.2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2 – Pompa ssąco-płucząca z oprogramowaniem i zestawem drenów 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164A7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164A70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Pompa ssąco-płucząca z oprogramowaniem i zestawem drenów – 1 zest.; urządzenia fabrycznie nowe, nie dopuszcza się urządzeń używanych, podemonstracyjnych. Rok produkcji 2024 - 2025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C8127D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Header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Wielodziedzinowa płucząca pompa rolkowa z oprogramowaniem dedykowanym do artroskopii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rozszerzenia oprogramowania pompy o inne procedury i dziedziny: urologia, laparoskopia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wykorzystania pompy jako pompy ssącej w połączeniu z dedykowaną konsolą shavera artroskopowego i pracy w sposób zsynchronizowany.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Pompa wyposażona w ekran LCD – dotykowy do sterowania parametrami wyświetlanymi na ekranie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rozbudowy pompy o sterownik nożny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współpracy z drenami jedno i wielorazowymi oraz jednodniowymi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Wybór zastosowania pompy z menu z listą dziedzin i procedur wyświetlanej na monitorze dotykowym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Standard"/>
              <w:snapToGrid w:val="0"/>
              <w:rPr>
                <w:rFonts w:ascii="Calibri" w:hAnsi="Calibri" w:cs="Calibri"/>
              </w:rPr>
            </w:pPr>
            <w:r w:rsidRPr="009B005C">
              <w:rPr>
                <w:rFonts w:ascii="Calibri" w:hAnsi="Calibri" w:cs="Calibri"/>
              </w:rPr>
              <w:t>Funkcja automatycznego rozpoznawania drenu wraz z automatyczna aktywacją procedur wykorzystujących dany dren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ciśnienia płukania w zakresie od nie więcej niż 20 do nie mniej niż 150 mmHg podczas artroskopii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zadanego ciśnienia płukania w formie graficznej i cyfrowej na monitorze dotykowym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Menu na ekranie dotykowym w języku polskim. Wszystkie komunikaty w tym alarmy i ostrzeżenia w języku polskim.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Animacja wyświetlana na ekranie dotykowym instruująca sposób zakładania drenu</w:t>
            </w:r>
          </w:p>
        </w:tc>
      </w:tr>
      <w:tr w:rsidR="00210688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3162E6">
            <w:pPr>
              <w:snapToGrid w:val="0"/>
              <w:rPr>
                <w:rStyle w:val="WW-Absatz-Standardschriftart111"/>
                <w:rFonts w:ascii="Calibri" w:hAnsi="Calibri" w:cs="Calibri"/>
                <w:sz w:val="20"/>
                <w:szCs w:val="20"/>
              </w:rPr>
            </w:pPr>
            <w:r w:rsidRPr="009B005C">
              <w:rPr>
                <w:rStyle w:val="WW-Absatz-Standardschriftart111"/>
                <w:rFonts w:ascii="Calibri" w:hAnsi="Calibri" w:cs="Calibri"/>
                <w:sz w:val="20"/>
                <w:szCs w:val="20"/>
              </w:rPr>
              <w:t>Dren płuczący do pompy rolkowej do trybu płukania z kontrolą ciśnienia, jednorazowy, sterylny – 1 opakowanie (10 szt.).</w:t>
            </w:r>
          </w:p>
        </w:tc>
      </w:tr>
      <w:tr w:rsidR="00210688" w:rsidRPr="009B005C" w:rsidTr="00164A7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162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3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3 – Kardiomonitor – 7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Kardiomonitor – 7 szt.; urządzenia fabrycznie nowe, nie dopuszcza się urządzeń używanych, podemonstracyjnych. Rok produkcji 2024 - 2025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przeznaczony dla wszystkich kategorii wiekowych, kompaktowy, pomiar EKG 3/5-odpr., respiracja, saturacja SpO2, pomiar ciśnienia nieinwazyjnego, pomiar temperatury</w:t>
            </w: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– 7 szt. wraz z podłączeniem 4 z nich do centrali monitorującej STAR8800 Shenzhen Comen Medical Instruments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będącej na wyposażeniu Zamawiającego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Kardiomonitor kompaktowo-modułowy o wadze nie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większej niż 5 kg z akumulatorem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przeznaczony dla wszystkich kategorii wiekowych, wyposażony w odpowiednie algorytmy pomiarowe.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wyposażony w uchwyt do przenoszenia przygotowany do łatwego montażu na podstawie jezdnej lub uchwycie ściennym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Zasilacz wbudowany w jednostkę główną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kolorowy z ekranem LCD o przekątnej nie mniejszej niż 12”, rozdzielczości min. 800x600 pikseli z wbudowanym uchwytem do transportu.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Kardiomonitor wyposażony w funkcję automatycznej regulacji jasności ekranu w zależności od warunków oświetlenia oraz możliwością ręcznej regulacji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Trendy tabelaryczne i graficzne mierzonych parametrów co najmniej 120 godzin z rozdzielczością nie gorszą niż 1 minuta oraz zapis min. 1 krzywej full disclosure z ostatnich 48 godzin.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Zapamiętywanie zdarzeń alarmowych min. 200 z zapisem odcinków krzywych z ostatnich min. 16 sekund oraz innych parametrów cyfrowych z możliwością wydruku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Pomiar i monitorowanie co najmniej następujących parametrów: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EKG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HR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Respiracja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Saturacja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Nieinwazyjny pomiar ciśnienia </w:t>
            </w:r>
          </w:p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Temperatura (T1,T2,TD)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EKG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akcji serca min. 15~300 bpm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Monitorowanie EKG z 3 lub 5 odprowadzeń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Ilość odprowadzeń automatycznie wykrywana po podłączeniu odpowiedniego przewodu EKG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HR nie gorsza niż +/- 1 bpm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Prędkości kreślenia min. 12.5mm/s, 25mm/s, 50mm/s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Detekcja stymulatora z graficznym zaznaczeniem na krzywej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Wzmocnienie przebiegu EKG: co najmniej x0,125 cm/mV; x0,25; cm/mV; 0,5 cm/mV;  1,0 cm/mV; 2,0 cm/mV;  4,0 cm/mV;  AUTO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Analiza odcinka ST w zakresie min. +/- 2,0 mV z prezentacją wszystkich odprowadzeń jednocześnie. Możliwość ustawienia punktu referencyjnego do pomiaru ST.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pracy min Diagnoza, Monitorowanie, Operacja, ST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Analiza zaburzeń rytmu z rozpoznawaniem zaburzeń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Respiracji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Sposób wyświetlania- w postaci krzywej dynamicznej oraz wartości cyfrowej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Pomiar impedancyjny częstości oddechów w zakresie min. 0-150 odd./min.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+/- 2 oddechy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Szybkość przesuwu krzywej respiracji co najmniej:6,25mm/s, 12.5mm/s, 25mm/s,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Wzmocnienie przebiegu respiracji: co najmniej x0,25; cm/mV; 1,0 cm/mV; 2,0 cm/mV;  4,0 cm/mV; 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Alarmy bezdechu regulowany w zakresie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min.10-40 sekund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Saturacji(SpO2)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wartości cyfrowej saturacji i tętna, krzywej pletyzmograficznej oraz liczbowego wskaźnika perfuzji (PI)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pomiarowy saturacji  0-100%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pomiarowy pulsu co najmniej  20-250 bpm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saturacji w zakresie 70-100% nie gorsza niż +/- 5 %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Niezależna funkcja pozwalająca na jednoczesny pomiar SpO2 i nieinwazyjnego ciśnienia bez wywołania alarmu SpO2 w momencie pompowania mankietu na kończynie na której założony jest czujnik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wyboru trybu pomiaru SpO2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sygnalizacji dźwiękowej zmian SpO2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ciśnienia krwi metodą nieinwazyjną(NIBP)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Oscylometryczna metoda pomiaru. Wyświetlanie wartości liczbowej ciśnienia skurczowego, rozkurczowego i średniego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ciśnienia co najmniej 10-270 mmHg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pulsu wraz z NIBP min. 40-240 bpm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+/- 5 mmHg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Tryby pomiaru: ręczny, auto, ciągły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Zakres programowania interwałów w trybie Auto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napełnienia mankietu do wenopunkcji (tzw staza).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Możliwość wstępnego ustawienia ciśnienia w mankiecie; </w:t>
            </w:r>
            <w:r w:rsidRPr="009B005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Zamawiający dopuszcza kardiomonitor ze wstępnie ustawionymi klinicznie uzasadnionymi, bezpiecznymi dla pacjenta poziomami ciśnienia w mankiecie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Kardiomonitor wyposażony w niezależną od pamięci trendów, pamięć ostatnich min. 1000 wyników pomiarów NIBP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Monitorowanie dynamicznego ciśnienia krwi z ostatnich min. 24 godzin. Monitorowanie co najmniej wartości ciśnienia średniego, maksymalnego oraz minimalnego.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Funkcja pomiaru o pełnej godzinie bądź </w:t>
            </w:r>
            <w:r w:rsidRPr="009B005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z możliwością ustawiania czasu pomiaru w zależności od ustawionego interwału pomiaru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 xml:space="preserve">Pomiar temperatury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+/- 0,5 C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Inne parametry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Obsługa kardiomonitora przy pomocy, pokrętła przycisków oraz poprzez ekran dotykowy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System alarmów monitorowanych parametrów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Akustyczne i wizualne sygnalizowanie wszystkich alarmów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Możliwość min. 4 stopniowego zawieszania alarmów oraz wyłączenia na stałe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ustawienia granic alarmowych wszystkich monitorowanych parametrów  w zakresie min.  2  poziomów ważności.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Ustawienie głośności sygnalizacji alarmowej w zakresie min 5 poziomów z zabezpieczeniem uniemożliwiającym wyciszenie alarmów na stałe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Ręczne i automatyczne ustawienie granic alarmowych w odniesieniu do aktualnego stanu monitorowanego pacjenta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Wbudowany system zarządzania danymi pacjenta umożliwiający zapis oraz eksport danych min. 15 monitorowanych pacjentów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Klawiatura alfanumeryczna do wprowadzania danych pacjenta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programowej dezaktywacji poszczególnych modułów pomiarowych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Oprogramowanie do obliczania leków, kalkulator hemodynamiczny, wentylacyjny, utlenowania,  nerkowy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Kalkulator leków z tabelami miareczkowania, ułatwiającymi przeliczanie dawek powiązanych z masą ciała pacjenta na szybkość podawania leku w ml/godzi. Kalkulator powinien mieć wpisane podstawowe leki oraz umożliwiać skonfigurowanie co najmniej 5 własnych leków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Zasilanie kardiomonitora z sieci 230V i akumulatora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Czas pracy kardiomonitora zasilanego z akumulatora nie krótszy niż 3 godziny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Min. 3 stopniowy graficzny wskaźnik akumulatora informujący o aktualnym stanie jego naładowania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- co najmniej 8 przebiegów z możliwością edycji kolorów parametrów, ustawienia dowolnej kolejności ich wyświetlania. Bez użycia funkcji 7xEKG oraz 12xEKG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Dostępne tryby pracy: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dużych znaków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tryb trendów do wyboru z ostatnich min.: 0,5; 1; 2, 4 lub 8 godzin 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oxyCRG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listy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7-EKG</w:t>
            </w:r>
          </w:p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7-EKG oraz dodatkowych krzywych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informowania o alarmach pojawiających się na innych kardiomonitorach podłączonych do wspólnej sieci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nocny umożliwiający zaprogramowanie jasności ekranu, głośności alarmu, głośności QRS, głośności przycisków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przystosowany do pracy w standardowej sieci Ethernet (złącze RJ-45)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Możliwość rozbudowy o bezprzewodową komunikację ze stanowiskiem centralnego monitorowania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Monitor wyposażony w min. 2 porty USB 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Aktualizacja oprogramowania poprzez gniazdo USB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Konstrukcja zapobiegająca wchłanianiu kurzu i rozprzestrzenianiu się infekcji - chłodzenie kardiomonitora konwekcyjne, bez wbudowanych wiatraków / wentylatorów.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zabezpieczony przed zalaniem wodą-stopień ochrony co najmniej IPX1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Możliwości podłączenia zewnętrznej drukarki i wydruku danych w formacie A4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przystosowany do ciągłej pracy w zakresie temperatur co najmniej 5-40C.</w:t>
            </w:r>
          </w:p>
        </w:tc>
      </w:tr>
      <w:tr w:rsidR="00210688" w:rsidRPr="009B005C" w:rsidTr="009B005C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7B6513">
            <w:pPr>
              <w:numPr>
                <w:ilvl w:val="0"/>
                <w:numId w:val="15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Wyposażenie każdego kardiomonitora co najmniej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-kabel EKG 5-odprowadzeniowy dla dorosłych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-wielorazowy czujnik SpO2 typu klips dla dorosłych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-mankiet do pomiaru NIBP(rozmiar średni dla dorosłych)</w:t>
            </w:r>
          </w:p>
          <w:p w:rsidR="00210688" w:rsidRPr="009B005C" w:rsidRDefault="00210688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-wąż połączeniowy NIBP</w:t>
            </w:r>
          </w:p>
          <w:p w:rsidR="00210688" w:rsidRPr="009B005C" w:rsidRDefault="00210688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-czujnik temperatury powierzchniowej dla dorosłych</w:t>
            </w:r>
          </w:p>
        </w:tc>
      </w:tr>
    </w:tbl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2.4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4 – Aparat do pomiaru śródbłonka rogówki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Aparat do pomiaru śródbłonka rogówki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1 szt</w:t>
            </w: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.; urządzenia fabrycznie nowe, nie dopuszcza się urządzeń używanych, podemonstracyjnych. Rok produkcji 2024 - 2025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C8127D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Minimalna l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iczba pikseli używanych do robienia zdjęć: 80 x 180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Zakres przechwytywania: 0,25 </w:t>
            </w:r>
            <w:r>
              <w:rPr>
                <w:rFonts w:ascii="Calibri" w:hAnsi="Calibri" w:cs="Calibri"/>
                <w:sz w:val="20"/>
                <w:szCs w:val="20"/>
              </w:rPr>
              <w:t>(+/-3 mm) x 0,55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(+/-5 mm)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Szeroki zakres pól pomiarowych: jeden p</w:t>
            </w:r>
            <w:r>
              <w:rPr>
                <w:rFonts w:ascii="Calibri" w:hAnsi="Calibri" w:cs="Calibri"/>
                <w:sz w:val="20"/>
                <w:szCs w:val="20"/>
              </w:rPr>
              <w:t>omiar centralny i co najmniej 10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pomia</w:t>
            </w:r>
            <w:r>
              <w:rPr>
                <w:rFonts w:ascii="Calibri" w:hAnsi="Calibri" w:cs="Calibri"/>
                <w:sz w:val="20"/>
                <w:szCs w:val="20"/>
              </w:rPr>
              <w:t>rów peryferyjnych: co najmniej 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w zakresie do 2mm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(parafoveal) oraz co najmniej 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w zakresie do 5.3mm (peripheral)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Minimalna rozdzielczość komórki: 1,15 µm (V) x 1,45 µm (H)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Powiększenie optyczne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x 190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kolorowy LCD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10”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Rozdzielczość monitora nie gorsza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1,14 µm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Automatyczne wyrównanie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Automatyczny pomiar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Tryb ręczny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Funkcja automatycznego wychwytywania obrazów do pomiar</w:t>
            </w:r>
            <w:r>
              <w:rPr>
                <w:rFonts w:ascii="Calibri" w:hAnsi="Calibri" w:cs="Calibri"/>
                <w:sz w:val="20"/>
                <w:szCs w:val="20"/>
              </w:rPr>
              <w:t>u ilości komórek: co najmniej 15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zdjęć do analizy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Maksymalna l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iczba analizowanych komórek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do 300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Metoda analizy: analiza automatyczna, ilościowa, metoda ciemnego obszaru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Analiza wartości: CD (gęstość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AVG (średnia powierzchnia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SD (standardowe odchylenie powierzchni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CV (współczynnik zmienności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powierzchni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                        Wielkość komórki: maksymalna + minimalne powierzchnia komórki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Histogram: Powierzchnia (polimegatyzm: rozkład według obszarów). Wierzchołek (plemorfizm: rozkład wielokątny)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>akres ruchu części ruchomej X:90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Y: 40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Z: 50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(+/- 2mm dla każdego wymiaru)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Zakres ruchu  elektrycznego podbródka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mniejszy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70 mm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pStyle w:val="Heading2"/>
              <w:keepNext/>
              <w:widowControl/>
              <w:numPr>
                <w:ilvl w:val="0"/>
                <w:numId w:val="0"/>
              </w:numPr>
              <w:suppressLineNumbers w:val="0"/>
              <w:tabs>
                <w:tab w:val="clear" w:pos="4818"/>
                <w:tab w:val="clear" w:pos="9637"/>
                <w:tab w:val="left" w:pos="113"/>
              </w:tabs>
              <w:snapToGri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Zakres pomiaru grubości rogówki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od nie więcej niż 300 do nie mniej niż </w:t>
            </w: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1000 µm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 d</w:t>
            </w: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okładność pomiaru pachymetrii: +/- 10 µm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Wbudowana drukarka: drukarka termiczna z wydrukiem wyniku pomiaru i zdjęcia lub zdjęć (dla dwóch oczu)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Typy wyjścia danych co najmniej USB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, LAN  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Sterowanie urządzeniem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zarówno za pomocą manipulatora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i dotykowego ekranu 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Możliwość archiwizacji danych pacjenta za pomocą karty SD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pamięci USB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Podbródek sterowany elektrycznie za pomocą przycisków znajdujących się na korpusie urządzenia. Zakres ruchu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mniejszy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70 mm 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Wysokość stolika (maksymalna i minimalna);</w:t>
            </w:r>
          </w:p>
          <w:p w:rsidR="00210688" w:rsidRPr="00B934D9" w:rsidRDefault="00210688" w:rsidP="00B934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pozycja maksymalnie złożona nie więcej niż 700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 (od podłoża do powierzchni blatu)</w:t>
            </w:r>
          </w:p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- pozycja maksymalnie rozłożona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9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 (od podłoża do powierzchni blatu)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Wielkość blatu 65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(+/- 10 mm)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(+/- 10 mm)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Sterowanie góra-dół za pomocą panelu sterowniczego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Obciążenie maksymalne </w:t>
            </w:r>
            <w:r>
              <w:rPr>
                <w:rFonts w:ascii="Calibri" w:hAnsi="Calibri" w:cs="Calibri"/>
                <w:sz w:val="20"/>
                <w:szCs w:val="20"/>
              </w:rPr>
              <w:t>nie mniej niż 60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</w:tc>
      </w:tr>
      <w:tr w:rsidR="00210688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B934D9" w:rsidRDefault="00210688" w:rsidP="003E0D3E">
            <w:pPr>
              <w:widowControl/>
              <w:numPr>
                <w:ilvl w:val="0"/>
                <w:numId w:val="10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B934D9" w:rsidRDefault="00210688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Podstawa jezdna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minimum 4 koła z czego co najmniej 2 blokowane</w:t>
            </w:r>
          </w:p>
        </w:tc>
      </w:tr>
    </w:tbl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5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5 – Wyświetlacz optotypów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Wyświetlacz optotypów – 1 szt.; urządzenia fabrycznie nowe, nie dopuszcza się urządzeń używanych, podemonstracyjnych. Rok produkcji 2024 - 2025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FA738F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Przekątna ekranu min 23 cale 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odległości projekcyjnej od nie więcej niż 2 do nie mniej niż 6 m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Szybkość zmiany optotypów nie więcej niż 0,5s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Jasność tła 200 cd/m2 (+/-10 cd/m2)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Sterowanie za pomocą pilota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Możliwość odtwarzania dźwięku 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automatycznego wyłączania po ustalonym wcześniej przez użytkownika czasie 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FA738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TESTY  i FUNKCJA URZĄDZENIA CO NAJMNIEJ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kontrastowe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literowe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dziecięce (rysunki)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cyfry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Haki (E) Snellena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Pierścienie Landolta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czerwono-zielony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astygmatyzmu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Punkt fiksacyjny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Test cylindra krzyżowego 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solniczki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kontrastowe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Amslera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Ishihara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Maski: pojedyncza, poziome, pionowe, podkreślenie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Maska czerwono-zielona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Wilczka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dla głuchoniemych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HOTV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kolorowe dla dzieci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Obrazki 3D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164A70">
            <w:pPr>
              <w:numPr>
                <w:ilvl w:val="0"/>
                <w:numId w:val="16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Schematy anatomiczne (np.: budowa oka, schorzenia)</w:t>
            </w:r>
          </w:p>
        </w:tc>
      </w:tr>
      <w:tr w:rsidR="00210688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FA738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164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0688" w:rsidRDefault="00210688" w:rsidP="00942D4E">
      <w:pPr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2.6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210688" w:rsidRPr="002D570F" w:rsidRDefault="00210688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6 – Mieszalnik do okładów parafinowych z szafą do utrzymywania temperatury okładów 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Mieszalnik do okładów parafinowych z szafą termiczną do utrzymywania temperatury okładów – 1 zest.; urządzenia fabrycznie nowe, nie dopuszcza się urządzeń używanych, podemonstracyjnych. Rok produkcji 2024 - 2025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keepNext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MIESZALNIK fango w fizjoterapii – 1 szt.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keepNext/>
              <w:outlineLvl w:val="1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Obudowa i zbiornik wykonane ze stali nierdzewnej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Górna pokrywa z uchwytem, zamykana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Elektroniczna kontrola temperatury, cyfrowy wyświetlacz temperatury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Termometr bezpieczeństwa wyświetlający temperaturę nawet, gdy urządzenie jest wyłączone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Lampki kontrole – ogrzewanie, mieszanie oraz obróbka w wysokiej temperaturze.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Ciągłe mieszanie, mieszanie interwałowe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Automatyczne wyłączenie mieszalnika przy otwieraniu pokrywy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Pojemność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55-65 litrów</w:t>
            </w:r>
          </w:p>
        </w:tc>
      </w:tr>
      <w:tr w:rsidR="00210688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E43EA4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Wymiary maksymalne szer. x gł. x wys.: 650 x 650 x 700 mm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C22C00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SZAFA TERMICZNA do okładów w fizjoterapii – 1 szt.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Minimum 10 gniazd na 10 kuwet o wymiarach 600x400 mm (+/- 10%)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nastawialnych temperatur od nie więcej niż 30 do nie mniej niż 85°C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Wymiary maksymalne 700x650x800 mm 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Pojemność nie mniej niż 150 l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Dokładne i szybkie ogrzewanie dzięki systemowi cyrkulacji powietrza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E43EA4">
            <w:pPr>
              <w:numPr>
                <w:ilvl w:val="0"/>
                <w:numId w:val="12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Lampka kontrolna zasilania i lampka kontrolna ogrzewania</w:t>
            </w:r>
          </w:p>
        </w:tc>
      </w:tr>
      <w:tr w:rsidR="00210688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88" w:rsidRPr="009B005C" w:rsidRDefault="00210688" w:rsidP="00C22C00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E43E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Default="00210688" w:rsidP="00546047">
      <w:pPr>
        <w:jc w:val="right"/>
        <w:rPr>
          <w:rFonts w:cs="Calibri"/>
          <w:b/>
          <w:sz w:val="20"/>
          <w:szCs w:val="20"/>
        </w:rPr>
      </w:pPr>
    </w:p>
    <w:p w:rsidR="00210688" w:rsidRPr="002D570F" w:rsidRDefault="00210688" w:rsidP="00A82943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2.7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A82943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7 – Wózek do przewożenia chorych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45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345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45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345215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Wózek do przewożenia chorych – 1 szt.; urządzenia fabrycznie nowe, nie dopuszcza się urządzeń używanych, podemonstracyjnych. Rok produkcji 2024 - 2025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A82943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przeznaczony do transportu wewnątrzszpitalnego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Długość całkowita wózka maksymalna 2100 mm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Szerokość całkowita wózka z poręczami bocznymi: maksymalnie 800 mm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Szerokość materaca 650-750 mm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wysokości za pomocą nożnej pompy hydraulicznej w zakresie od nie więcej niż 580 przy minimalnym opuszczeniu do nie mniej niż 880 mm przy maksymalnym uniesieniu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Oparcie pleców regulowane sprężynami gazowymi z blokadą w zakresie od 0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do nie mniej niż 70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Przechył Trendelenburga w zakresie mnie mniejszym niż 25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Przechył anty –Trendelenburga</w:t>
            </w:r>
            <w:r w:rsidRPr="009B005C">
              <w:rPr>
                <w:rFonts w:ascii="Calibri" w:hAnsi="Calibri" w:cs="Calibri"/>
                <w:color w:val="008000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w zakresie mnie mniejszym niż</w:t>
            </w:r>
            <w:r w:rsidRPr="009B005C">
              <w:rPr>
                <w:rFonts w:ascii="Calibri" w:hAnsi="Calibri" w:cs="Calibri"/>
                <w:color w:val="008000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15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pozycji Trendelenburga oraz anty-Trendelenburga wspomagana sprężynami gazowymi z blokadą.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Ergonomiczny uchwyt do pozycjonowania leża w pozycji Trendelenburga lub anty-Trendelenburga – usytuowany od strony nóg pacjenta.    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Wózek wykonany z profili stalowych, lakierowanych proszkowo w technologii ograniczającej namnażanie bakterii i wirusów 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Podstawa wózka obudowana wypraskami z tworzywa z zastosowaniem technologii ograniczającej namnażanie bakterii i wirusów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zaopatrzony w minimum 4 krążki odbojowe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Materac o grubości min. 80 mm montowany do leża wózka za pomocą rzepów.</w:t>
            </w:r>
          </w:p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Obszycie wykonane z materiału nieprzemakalnego z dodatkami bakterio i grzybobójczymi ograniczającymi rozprzestrzenianie się szczepu MRSA i bakterii E.coli. Obszycie niepalne; możliwość wyboru koloru obszycia materacy – wg wzornika producenta.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Koła jezdne o średnicy min. 200 mm z centralną blokadą jazdy i kołem kierunkowym; blokada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od strony nóg pacjenta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Dopuszczalne obciążenie wózka nie mniej niż  250 kg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wyposażony w poręcze boczne wykonane z aluminium oraz odpornego tworzywa, składające się z minimum 4  poprzeczek pionowych. Mechanizm zwalniania / blokowania poręczy w łatwo dostępnym miejscu poręczy, oznaczony kolorem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Poręcze boczne nie wystające ponad powierzchnię leża po złożeniu; brak utrudnień przy schodzeniu z wózka lub przy transferze pacjenta z wózka na łóżko.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wyposażony w minimum 4 ergonomiczne uchwyty do przetaczania – 2 od strony nóg pacjenta oraz 2 od strony głowy.</w:t>
            </w:r>
          </w:p>
        </w:tc>
      </w:tr>
      <w:tr w:rsidR="00210688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3E0D3E">
            <w:pPr>
              <w:widowControl/>
              <w:numPr>
                <w:ilvl w:val="0"/>
                <w:numId w:val="14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wyposażony w stojak kroplówki</w:t>
            </w:r>
          </w:p>
        </w:tc>
      </w:tr>
    </w:tbl>
    <w:p w:rsidR="00210688" w:rsidRPr="002D570F" w:rsidRDefault="00210688" w:rsidP="006E3171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2.8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210688" w:rsidRPr="002D570F" w:rsidRDefault="00210688" w:rsidP="006E3171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8 –</w:t>
      </w:r>
      <w:r w:rsidRPr="009F7FD8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9F7FD8">
        <w:rPr>
          <w:rFonts w:ascii="Calibri" w:hAnsi="Calibri" w:cs="Calibri"/>
          <w:b/>
          <w:bCs/>
          <w:sz w:val="20"/>
          <w:szCs w:val="20"/>
        </w:rPr>
        <w:t xml:space="preserve">Komora laminarna </w:t>
      </w:r>
      <w:r>
        <w:rPr>
          <w:rFonts w:ascii="Calibri" w:hAnsi="Calibri" w:cs="Calibri"/>
          <w:b/>
          <w:sz w:val="20"/>
          <w:szCs w:val="20"/>
        </w:rPr>
        <w:t>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210688" w:rsidRPr="009B005C" w:rsidTr="004E37ED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parametrów</w:t>
            </w:r>
          </w:p>
        </w:tc>
      </w:tr>
      <w:tr w:rsidR="00210688" w:rsidRPr="009B005C" w:rsidTr="004E37ED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688" w:rsidRPr="009B005C" w:rsidRDefault="00210688" w:rsidP="004E37ED">
            <w:pPr>
              <w:textAlignment w:val="baseline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Komora laminarna II klasy bezpieczeństwa z regulowanym, pionowym laminarnym przepływem powietrza – 1 zest.; urządzenia fabrycznie nowe, nie dopuszcza się urządzeń używanych, podemonstracyjnych. Rok produkcji 2024 - 2025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3"/>
              </w:numPr>
              <w:suppressAutoHyphens w:val="0"/>
              <w:jc w:val="right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Pionowy laminarny przepływ powietrza wyposażony w 3 filtry HEPA o wydajności min. 99,9% dla MPPS bądź 2 filtry HEPA o wydajności min. 99,9% dla MPPS z dodatkowym filtrem zabezpieczającym filtry HEPA przed uszkodzeniami oraz wydłużającym żywotność filtrów Hepa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Wymiary komory: szerokość wewnętrzna komory 1800-2050 mm; wysokość wewnętrzna komory 650-750 mm; głębokość wewnętrzna komory 545-700 mm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Szyba frontowa ustawiona pod kątem 8° (+/-1°), skośnie w stosunku do blatu roboczego; nieprzepuszczalna dla promieniowania UV, umożliwiająca CAŁKOWITE zamknięcie komory od frontu w pozycji całkowitego opuszczenia; sterowana elektrycznie góra-dół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Komora wyposażona w wentylatory zapewniające stabilną pracę urządzenia 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Układ monitorowania przepływów powietrza przy użyciu sensorów z kompensacją temperaturową, oddzielne dla pionowego strumienia laminarnego i dla strumienia wylotowego;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Panel sterowania dotykowy w języku polskim, </w:t>
            </w:r>
            <w:r w:rsidRPr="009B005C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bądź wyświetlacz graficzny LCD z panelem sterowania wyposażonym w przyciski membranowe z komunikacją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 języku polskim ze wskaźnikiem co najmniej: prędkości przepływów powietrza wlotowego i laminarnego, trybu pracy, poziomu szyby frontowej, temperatury wewnątrz przestrzeni roboczej i na zewnątrz komory, łącznego czasu pracy filtrów, zużycia filtrów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Oświetlenie obszaru pracy lampami typu LED – intensywność nie mniejsza niż 1000 lux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Poziom emitowanego hałasu &lt; 60dB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Wyposażenie: min 2 gniazda elektryczne zlokalizowane na tylnej ścianie; blat roboczy wykonany ze stali nierdzewnej, dzielony z możliwością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autoklawowania;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dedykowana podstawa do pracy w pozycji siedzącej; podłokietnik dla przedramion na całej szerokości blatu roboczego, wykonany ze stali nierdzewnej;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wbudowany monitor na tylnej ścianie przestrzeni roboczej; gniazda HDMI/USB; drążek do zawieszania worków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Funkcja zmniejszająca wydajność wentylatora podczas nieużywania komory oraz oszczędzająca energię</w:t>
            </w:r>
          </w:p>
        </w:tc>
      </w:tr>
      <w:tr w:rsidR="00210688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88" w:rsidRPr="009B005C" w:rsidRDefault="00210688" w:rsidP="004E37ED">
            <w:pPr>
              <w:numPr>
                <w:ilvl w:val="0"/>
                <w:numId w:val="17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88" w:rsidRPr="009B005C" w:rsidRDefault="00210688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Funkcja mycia szyby poprzez opuszczanie szyby poniżej blatu roboczego bądź podniesienie pokrywy przedniej</w:t>
            </w:r>
          </w:p>
        </w:tc>
      </w:tr>
    </w:tbl>
    <w:p w:rsidR="00210688" w:rsidRDefault="00210688" w:rsidP="009B005C">
      <w:pPr>
        <w:rPr>
          <w:rFonts w:cs="Calibri"/>
          <w:b/>
          <w:sz w:val="20"/>
          <w:szCs w:val="20"/>
        </w:rPr>
      </w:pPr>
    </w:p>
    <w:sectPr w:rsidR="00210688" w:rsidSect="008810FA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134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88" w:rsidRDefault="00210688">
      <w:r>
        <w:separator/>
      </w:r>
    </w:p>
    <w:p w:rsidR="00210688" w:rsidRDefault="00210688"/>
  </w:endnote>
  <w:endnote w:type="continuationSeparator" w:id="0">
    <w:p w:rsidR="00210688" w:rsidRDefault="00210688">
      <w:r>
        <w:continuationSeparator/>
      </w:r>
    </w:p>
    <w:p w:rsidR="00210688" w:rsidRDefault="002106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88" w:rsidRDefault="00210688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88" w:rsidRDefault="00210688" w:rsidP="00487F43">
    <w:pPr>
      <w:pStyle w:val="Footer"/>
      <w:ind w:right="360"/>
    </w:pPr>
  </w:p>
  <w:p w:rsidR="00210688" w:rsidRDefault="002106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88" w:rsidRPr="00987333" w:rsidRDefault="00210688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14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88" w:rsidRDefault="00210688">
      <w:r>
        <w:separator/>
      </w:r>
    </w:p>
    <w:p w:rsidR="00210688" w:rsidRDefault="00210688"/>
  </w:footnote>
  <w:footnote w:type="continuationSeparator" w:id="0">
    <w:p w:rsidR="00210688" w:rsidRDefault="00210688">
      <w:r>
        <w:continuationSeparator/>
      </w:r>
    </w:p>
    <w:p w:rsidR="00210688" w:rsidRDefault="002106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pt;margin-top:6.4pt;width:145.8pt;height:54.75pt;z-index:251658240;visibility:visible">
          <v:imagedata r:id="rId1" o:title="" croptop="8073f" cropbottom="8073f" cropleft="5685f" cropright="3639f"/>
          <w10:wrap type="square"/>
        </v:shape>
      </w:pict>
    </w: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Pr="00D650FF" w:rsidRDefault="00210688" w:rsidP="00D650FF">
    <w:pPr>
      <w:jc w:val="center"/>
      <w:rPr>
        <w:rFonts w:ascii="Calibri" w:hAnsi="Calibri" w:cs="Calibri"/>
        <w:sz w:val="18"/>
        <w:szCs w:val="18"/>
      </w:rPr>
    </w:pPr>
    <w:r w:rsidRPr="00D650FF">
      <w:rPr>
        <w:rFonts w:ascii="Calibri" w:hAnsi="Calibri" w:cs="Calibri"/>
        <w:sz w:val="18"/>
        <w:szCs w:val="18"/>
      </w:rPr>
      <w:t>Zestawienie wymaganych parametrów jakościowo-technicznych</w:t>
    </w:r>
  </w:p>
  <w:p w:rsidR="00210688" w:rsidRPr="00D650FF" w:rsidRDefault="00210688" w:rsidP="00D650FF">
    <w:pPr>
      <w:jc w:val="center"/>
      <w:rPr>
        <w:rFonts w:ascii="Calibri" w:hAnsi="Calibri" w:cs="Calibri"/>
        <w:sz w:val="18"/>
        <w:szCs w:val="18"/>
      </w:rPr>
    </w:pPr>
    <w:r w:rsidRPr="00D650FF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210688" w:rsidRPr="00D650FF" w:rsidRDefault="00210688" w:rsidP="00D650FF">
    <w:pPr>
      <w:jc w:val="center"/>
      <w:rPr>
        <w:rFonts w:ascii="Calibri" w:hAnsi="Calibri" w:cs="Calibri"/>
        <w:i/>
        <w:sz w:val="18"/>
        <w:szCs w:val="18"/>
      </w:rPr>
    </w:pPr>
    <w:r w:rsidRPr="00D650FF">
      <w:rPr>
        <w:rFonts w:ascii="Calibri" w:hAnsi="Calibri" w:cs="Calibri"/>
        <w:i/>
        <w:sz w:val="18"/>
        <w:szCs w:val="18"/>
      </w:rPr>
      <w:t>„Doposażenie oddziałów Chirurgii Dziecięcej i laryngologii wraz z salami operacyjnymi oraz innych oddziałów poprzez zakup urządzeń medycznych dla potrzeb WSZ”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88" w:rsidRDefault="002106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2in;margin-top:5.4pt;width:145.8pt;height:54.75pt;z-index:251657216;visibility:visible">
          <v:imagedata r:id="rId1" o:title="" croptop="8073f" cropbottom="8073f" cropleft="5685f" cropright="3639f"/>
          <w10:wrap type="square"/>
        </v:shape>
      </w:pict>
    </w:r>
  </w:p>
  <w:p w:rsidR="00210688" w:rsidRDefault="00210688" w:rsidP="0083083E">
    <w:pPr>
      <w:pStyle w:val="Header"/>
      <w:jc w:val="center"/>
    </w:pPr>
  </w:p>
  <w:p w:rsidR="00210688" w:rsidRDefault="00210688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Default="00210688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210688" w:rsidRPr="00A15DD9" w:rsidRDefault="00210688" w:rsidP="00D650FF">
    <w:pPr>
      <w:jc w:val="center"/>
      <w:rPr>
        <w:rFonts w:ascii="Calibri" w:hAnsi="Calibri" w:cs="Calibri"/>
        <w:sz w:val="18"/>
        <w:szCs w:val="18"/>
      </w:rPr>
    </w:pPr>
    <w:r w:rsidRPr="00A15DD9">
      <w:rPr>
        <w:rFonts w:ascii="Calibri" w:hAnsi="Calibri" w:cs="Calibri"/>
        <w:sz w:val="18"/>
        <w:szCs w:val="18"/>
      </w:rPr>
      <w:t>Zestawienie wymaganych parametrów jakościowo-technicznych</w:t>
    </w:r>
  </w:p>
  <w:p w:rsidR="00210688" w:rsidRPr="00A15DD9" w:rsidRDefault="00210688" w:rsidP="00D650FF">
    <w:pPr>
      <w:jc w:val="center"/>
      <w:rPr>
        <w:rFonts w:ascii="Calibri" w:hAnsi="Calibri" w:cs="Calibri"/>
        <w:sz w:val="18"/>
        <w:szCs w:val="18"/>
      </w:rPr>
    </w:pPr>
    <w:r w:rsidRPr="00A15DD9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210688" w:rsidRPr="00A15DD9" w:rsidRDefault="00210688" w:rsidP="00D650FF">
    <w:pPr>
      <w:jc w:val="center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>„Doposażenie oddziału</w:t>
    </w:r>
    <w:r w:rsidRPr="00A15DD9">
      <w:rPr>
        <w:rFonts w:ascii="Calibri" w:hAnsi="Calibri" w:cs="Calibri"/>
        <w:i/>
        <w:sz w:val="18"/>
        <w:szCs w:val="18"/>
      </w:rPr>
      <w:t xml:space="preserve"> Chirurgii Dziecięcej</w:t>
    </w:r>
    <w:r>
      <w:rPr>
        <w:rFonts w:ascii="Calibri" w:hAnsi="Calibri" w:cs="Calibri"/>
        <w:i/>
        <w:sz w:val="18"/>
        <w:szCs w:val="18"/>
      </w:rPr>
      <w:t xml:space="preserve"> wraz z salą operacyjną</w:t>
    </w:r>
    <w:r w:rsidRPr="00A15DD9">
      <w:rPr>
        <w:rFonts w:ascii="Calibri" w:hAnsi="Calibri" w:cs="Calibri"/>
        <w:i/>
        <w:sz w:val="18"/>
        <w:szCs w:val="18"/>
      </w:rPr>
      <w:t xml:space="preserve"> oraz innych oddziałów poprzez zakup urządzeń medycznych dla potrzeb WSZ”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29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1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1E6789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26212F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8">
    <w:nsid w:val="02F658AB"/>
    <w:multiLevelType w:val="hybridMultilevel"/>
    <w:tmpl w:val="E68414DE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36608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04E86950"/>
    <w:multiLevelType w:val="hybridMultilevel"/>
    <w:tmpl w:val="C200159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06B204A8"/>
    <w:multiLevelType w:val="hybridMultilevel"/>
    <w:tmpl w:val="C3E84C44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1067643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16155BD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1A416BE5"/>
    <w:multiLevelType w:val="hybridMultilevel"/>
    <w:tmpl w:val="1A90573A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4E63D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AF2448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2">
    <w:nsid w:val="2C9E537F"/>
    <w:multiLevelType w:val="hybridMultilevel"/>
    <w:tmpl w:val="FD66CF0C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Microsoft PhagsP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A534FC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>
    <w:nsid w:val="3D6B04F1"/>
    <w:multiLevelType w:val="hybridMultilevel"/>
    <w:tmpl w:val="946A3EF4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145384B"/>
    <w:multiLevelType w:val="hybridMultilevel"/>
    <w:tmpl w:val="A8369B88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4">
    <w:nsid w:val="4F745E55"/>
    <w:multiLevelType w:val="hybridMultilevel"/>
    <w:tmpl w:val="775A312A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0F2184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>
    <w:nsid w:val="54B01D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>
    <w:nsid w:val="555017C8"/>
    <w:multiLevelType w:val="hybridMultilevel"/>
    <w:tmpl w:val="11BE042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5DB7AA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>
    <w:nsid w:val="5CD103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05030A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>
    <w:nsid w:val="608B03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1066A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29C3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3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4">
    <w:nsid w:val="751F04A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6">
    <w:nsid w:val="7A3810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7A5733E6"/>
    <w:multiLevelType w:val="hybridMultilevel"/>
    <w:tmpl w:val="61963D6C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DB605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4"/>
  </w:num>
  <w:num w:numId="2">
    <w:abstractNumId w:val="63"/>
  </w:num>
  <w:num w:numId="3">
    <w:abstractNumId w:val="60"/>
  </w:num>
  <w:num w:numId="4">
    <w:abstractNumId w:val="66"/>
  </w:num>
  <w:num w:numId="5">
    <w:abstractNumId w:val="55"/>
  </w:num>
  <w:num w:numId="6">
    <w:abstractNumId w:val="83"/>
  </w:num>
  <w:num w:numId="7">
    <w:abstractNumId w:val="87"/>
  </w:num>
  <w:num w:numId="8">
    <w:abstractNumId w:val="61"/>
  </w:num>
  <w:num w:numId="9">
    <w:abstractNumId w:val="68"/>
  </w:num>
  <w:num w:numId="10">
    <w:abstractNumId w:val="40"/>
  </w:num>
  <w:num w:numId="11">
    <w:abstractNumId w:val="45"/>
  </w:num>
  <w:num w:numId="12">
    <w:abstractNumId w:val="38"/>
  </w:num>
  <w:num w:numId="13">
    <w:abstractNumId w:val="41"/>
  </w:num>
  <w:num w:numId="14">
    <w:abstractNumId w:val="64"/>
  </w:num>
  <w:num w:numId="15">
    <w:abstractNumId w:val="52"/>
  </w:num>
  <w:num w:numId="16">
    <w:abstractNumId w:val="58"/>
  </w:num>
  <w:num w:numId="17">
    <w:abstractNumId w:val="86"/>
  </w:num>
  <w:num w:numId="18">
    <w:abstractNumId w:val="51"/>
  </w:num>
  <w:num w:numId="19">
    <w:abstractNumId w:val="67"/>
  </w:num>
  <w:num w:numId="20">
    <w:abstractNumId w:val="76"/>
  </w:num>
  <w:num w:numId="21">
    <w:abstractNumId w:val="80"/>
  </w:num>
  <w:num w:numId="22">
    <w:abstractNumId w:val="84"/>
  </w:num>
  <w:num w:numId="23">
    <w:abstractNumId w:val="65"/>
  </w:num>
  <w:num w:numId="24">
    <w:abstractNumId w:val="77"/>
  </w:num>
  <w:num w:numId="25">
    <w:abstractNumId w:val="35"/>
  </w:num>
  <w:num w:numId="26">
    <w:abstractNumId w:val="73"/>
  </w:num>
  <w:num w:numId="27">
    <w:abstractNumId w:val="44"/>
  </w:num>
  <w:num w:numId="28">
    <w:abstractNumId w:val="37"/>
  </w:num>
  <w:num w:numId="29">
    <w:abstractNumId w:val="46"/>
  </w:num>
  <w:num w:numId="30">
    <w:abstractNumId w:val="57"/>
  </w:num>
  <w:num w:numId="31">
    <w:abstractNumId w:val="88"/>
  </w:num>
  <w:num w:numId="32">
    <w:abstractNumId w:val="39"/>
  </w:num>
  <w:num w:numId="33">
    <w:abstractNumId w:val="69"/>
  </w:num>
  <w:num w:numId="34">
    <w:abstractNumId w:val="43"/>
  </w:num>
  <w:num w:numId="35">
    <w:abstractNumId w:val="7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A0D"/>
    <w:rsid w:val="0001120C"/>
    <w:rsid w:val="00012310"/>
    <w:rsid w:val="00012A15"/>
    <w:rsid w:val="00012AA0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149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6BA0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037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2AF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0767"/>
    <w:rsid w:val="000E07F3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785"/>
    <w:rsid w:val="00103ED8"/>
    <w:rsid w:val="001049B3"/>
    <w:rsid w:val="00104C37"/>
    <w:rsid w:val="001072D1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45D"/>
    <w:rsid w:val="00120C5F"/>
    <w:rsid w:val="00120F1F"/>
    <w:rsid w:val="001220F4"/>
    <w:rsid w:val="00122107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4DDC"/>
    <w:rsid w:val="0013557B"/>
    <w:rsid w:val="001355C6"/>
    <w:rsid w:val="00135FB5"/>
    <w:rsid w:val="00136AF6"/>
    <w:rsid w:val="00136BBA"/>
    <w:rsid w:val="00137401"/>
    <w:rsid w:val="001405BA"/>
    <w:rsid w:val="00140F19"/>
    <w:rsid w:val="00140F5D"/>
    <w:rsid w:val="00141846"/>
    <w:rsid w:val="001418D2"/>
    <w:rsid w:val="00141A55"/>
    <w:rsid w:val="001425CE"/>
    <w:rsid w:val="0014278A"/>
    <w:rsid w:val="00142B54"/>
    <w:rsid w:val="00142CEB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4A70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1887"/>
    <w:rsid w:val="001723C1"/>
    <w:rsid w:val="0017276F"/>
    <w:rsid w:val="00173233"/>
    <w:rsid w:val="00173444"/>
    <w:rsid w:val="00174AE3"/>
    <w:rsid w:val="00175225"/>
    <w:rsid w:val="00176356"/>
    <w:rsid w:val="00176AEF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F2D"/>
    <w:rsid w:val="001A01A5"/>
    <w:rsid w:val="001A18F9"/>
    <w:rsid w:val="001A195D"/>
    <w:rsid w:val="001A3D96"/>
    <w:rsid w:val="001A4D9C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164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430"/>
    <w:rsid w:val="001C2509"/>
    <w:rsid w:val="001C2FAB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6F0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403D"/>
    <w:rsid w:val="001E4DEA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688"/>
    <w:rsid w:val="00210900"/>
    <w:rsid w:val="0021136F"/>
    <w:rsid w:val="00211A42"/>
    <w:rsid w:val="00212E45"/>
    <w:rsid w:val="00213E27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01F"/>
    <w:rsid w:val="0027411D"/>
    <w:rsid w:val="002744D4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7D5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2AF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5E98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43EE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570F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2E6"/>
    <w:rsid w:val="00316A4A"/>
    <w:rsid w:val="00316E5B"/>
    <w:rsid w:val="003171FB"/>
    <w:rsid w:val="00317212"/>
    <w:rsid w:val="00317747"/>
    <w:rsid w:val="0031774C"/>
    <w:rsid w:val="003179FE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B67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215"/>
    <w:rsid w:val="00345713"/>
    <w:rsid w:val="00345840"/>
    <w:rsid w:val="00346BC0"/>
    <w:rsid w:val="00347375"/>
    <w:rsid w:val="0034767D"/>
    <w:rsid w:val="0035002A"/>
    <w:rsid w:val="00350155"/>
    <w:rsid w:val="003520D8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77CD4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DA4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0D3E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0AE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008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5F9D"/>
    <w:rsid w:val="00456DF2"/>
    <w:rsid w:val="00456FC3"/>
    <w:rsid w:val="004606CC"/>
    <w:rsid w:val="004611EC"/>
    <w:rsid w:val="00461BB5"/>
    <w:rsid w:val="00461D84"/>
    <w:rsid w:val="00461E07"/>
    <w:rsid w:val="00461E6B"/>
    <w:rsid w:val="00462647"/>
    <w:rsid w:val="00462705"/>
    <w:rsid w:val="00462A80"/>
    <w:rsid w:val="00463913"/>
    <w:rsid w:val="00463FCD"/>
    <w:rsid w:val="0046410A"/>
    <w:rsid w:val="00464141"/>
    <w:rsid w:val="004655FE"/>
    <w:rsid w:val="0046590A"/>
    <w:rsid w:val="00465C79"/>
    <w:rsid w:val="004660FE"/>
    <w:rsid w:val="00466180"/>
    <w:rsid w:val="00466A24"/>
    <w:rsid w:val="00466A74"/>
    <w:rsid w:val="00467498"/>
    <w:rsid w:val="00467896"/>
    <w:rsid w:val="00470AFC"/>
    <w:rsid w:val="00470D59"/>
    <w:rsid w:val="00470EE5"/>
    <w:rsid w:val="00471260"/>
    <w:rsid w:val="00471358"/>
    <w:rsid w:val="004715D7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24E"/>
    <w:rsid w:val="00493364"/>
    <w:rsid w:val="00493AE1"/>
    <w:rsid w:val="00494973"/>
    <w:rsid w:val="00495315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77D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757"/>
    <w:rsid w:val="004D78C1"/>
    <w:rsid w:val="004D7D50"/>
    <w:rsid w:val="004D7DAB"/>
    <w:rsid w:val="004E10D6"/>
    <w:rsid w:val="004E37ED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1D3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17E88"/>
    <w:rsid w:val="00520CA2"/>
    <w:rsid w:val="00520E6E"/>
    <w:rsid w:val="005210DC"/>
    <w:rsid w:val="0052178D"/>
    <w:rsid w:val="00521E26"/>
    <w:rsid w:val="005235CE"/>
    <w:rsid w:val="00523F6A"/>
    <w:rsid w:val="00524D88"/>
    <w:rsid w:val="00525634"/>
    <w:rsid w:val="0052688A"/>
    <w:rsid w:val="00526AB3"/>
    <w:rsid w:val="00526FB4"/>
    <w:rsid w:val="005278F9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047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4A4F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42D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81"/>
    <w:rsid w:val="005B1DC2"/>
    <w:rsid w:val="005B2896"/>
    <w:rsid w:val="005B2F4D"/>
    <w:rsid w:val="005B32D1"/>
    <w:rsid w:val="005B3E6E"/>
    <w:rsid w:val="005B4F85"/>
    <w:rsid w:val="005B6959"/>
    <w:rsid w:val="005B6DA4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21A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471B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35A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5C1E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54CA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51D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1EFB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EFF"/>
    <w:rsid w:val="00687579"/>
    <w:rsid w:val="00687CBD"/>
    <w:rsid w:val="0069001B"/>
    <w:rsid w:val="006906BB"/>
    <w:rsid w:val="00691121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5D9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1D3"/>
    <w:rsid w:val="006B46ED"/>
    <w:rsid w:val="006B49E5"/>
    <w:rsid w:val="006B54A2"/>
    <w:rsid w:val="006B5A24"/>
    <w:rsid w:val="006B5F43"/>
    <w:rsid w:val="006B62D5"/>
    <w:rsid w:val="006B6AFC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049"/>
    <w:rsid w:val="006C717E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0DCD"/>
    <w:rsid w:val="006E10D6"/>
    <w:rsid w:val="006E1803"/>
    <w:rsid w:val="006E1947"/>
    <w:rsid w:val="006E2A24"/>
    <w:rsid w:val="006E2B87"/>
    <w:rsid w:val="006E3171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E7E17"/>
    <w:rsid w:val="006F197D"/>
    <w:rsid w:val="006F23D6"/>
    <w:rsid w:val="006F4888"/>
    <w:rsid w:val="006F52D5"/>
    <w:rsid w:val="006F57EB"/>
    <w:rsid w:val="006F5F53"/>
    <w:rsid w:val="006F7B7E"/>
    <w:rsid w:val="0070043F"/>
    <w:rsid w:val="00700588"/>
    <w:rsid w:val="007008A0"/>
    <w:rsid w:val="00700BFB"/>
    <w:rsid w:val="00700FFE"/>
    <w:rsid w:val="00701490"/>
    <w:rsid w:val="007016B4"/>
    <w:rsid w:val="00701F12"/>
    <w:rsid w:val="0070225E"/>
    <w:rsid w:val="0070281F"/>
    <w:rsid w:val="00703025"/>
    <w:rsid w:val="0070332E"/>
    <w:rsid w:val="00703361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5EFF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54"/>
    <w:rsid w:val="007225C6"/>
    <w:rsid w:val="00722BBD"/>
    <w:rsid w:val="00722BD8"/>
    <w:rsid w:val="007244E5"/>
    <w:rsid w:val="00725428"/>
    <w:rsid w:val="007258C3"/>
    <w:rsid w:val="00726235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3D3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5BCA"/>
    <w:rsid w:val="00775C2D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0F4"/>
    <w:rsid w:val="007946C0"/>
    <w:rsid w:val="00794DE4"/>
    <w:rsid w:val="0079562B"/>
    <w:rsid w:val="00795923"/>
    <w:rsid w:val="00795EC5"/>
    <w:rsid w:val="007963F6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6513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8A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03D"/>
    <w:rsid w:val="007D6162"/>
    <w:rsid w:val="007D77EC"/>
    <w:rsid w:val="007E0A56"/>
    <w:rsid w:val="007E0F50"/>
    <w:rsid w:val="007E1A4E"/>
    <w:rsid w:val="007E3889"/>
    <w:rsid w:val="007E3A5C"/>
    <w:rsid w:val="007E6107"/>
    <w:rsid w:val="007E6E95"/>
    <w:rsid w:val="007F006E"/>
    <w:rsid w:val="007F0080"/>
    <w:rsid w:val="007F05C6"/>
    <w:rsid w:val="007F1D17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0FA9"/>
    <w:rsid w:val="00811232"/>
    <w:rsid w:val="00811AB4"/>
    <w:rsid w:val="00811BF8"/>
    <w:rsid w:val="00812052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777"/>
    <w:rsid w:val="0083083E"/>
    <w:rsid w:val="008308FA"/>
    <w:rsid w:val="00831698"/>
    <w:rsid w:val="00831C5C"/>
    <w:rsid w:val="0083205A"/>
    <w:rsid w:val="008336A6"/>
    <w:rsid w:val="00833EE5"/>
    <w:rsid w:val="00835808"/>
    <w:rsid w:val="00835B7B"/>
    <w:rsid w:val="008365E0"/>
    <w:rsid w:val="00836BC3"/>
    <w:rsid w:val="0083742A"/>
    <w:rsid w:val="008379C8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31E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63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6780F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94D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0FA"/>
    <w:rsid w:val="0088112D"/>
    <w:rsid w:val="008814A6"/>
    <w:rsid w:val="00881759"/>
    <w:rsid w:val="0088197E"/>
    <w:rsid w:val="00882295"/>
    <w:rsid w:val="0088336C"/>
    <w:rsid w:val="008837D0"/>
    <w:rsid w:val="00883A57"/>
    <w:rsid w:val="00883E9E"/>
    <w:rsid w:val="00884A41"/>
    <w:rsid w:val="00884C91"/>
    <w:rsid w:val="00885098"/>
    <w:rsid w:val="008853C9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8A0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3DB3"/>
    <w:rsid w:val="008A4AF2"/>
    <w:rsid w:val="008A4DC3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3F86"/>
    <w:rsid w:val="008B439E"/>
    <w:rsid w:val="008B4B32"/>
    <w:rsid w:val="008B54F1"/>
    <w:rsid w:val="008B5CE3"/>
    <w:rsid w:val="008B6E4B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80D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440D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4D6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8F7521"/>
    <w:rsid w:val="009002C0"/>
    <w:rsid w:val="009006B6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55C"/>
    <w:rsid w:val="00926DE2"/>
    <w:rsid w:val="0092755E"/>
    <w:rsid w:val="00927639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D4E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CBC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114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8DF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1809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05C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3F8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9F7FD8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5DD9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3797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1F8F"/>
    <w:rsid w:val="00A526B7"/>
    <w:rsid w:val="00A53729"/>
    <w:rsid w:val="00A5372A"/>
    <w:rsid w:val="00A538C9"/>
    <w:rsid w:val="00A53D49"/>
    <w:rsid w:val="00A54B50"/>
    <w:rsid w:val="00A54DC1"/>
    <w:rsid w:val="00A557CC"/>
    <w:rsid w:val="00A55DF8"/>
    <w:rsid w:val="00A56D22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943"/>
    <w:rsid w:val="00A82B1C"/>
    <w:rsid w:val="00A82FE8"/>
    <w:rsid w:val="00A8367D"/>
    <w:rsid w:val="00A8395D"/>
    <w:rsid w:val="00A83A1C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4804"/>
    <w:rsid w:val="00AC5159"/>
    <w:rsid w:val="00AC5216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851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B14"/>
    <w:rsid w:val="00AE1FCE"/>
    <w:rsid w:val="00AE2BB3"/>
    <w:rsid w:val="00AE2FE7"/>
    <w:rsid w:val="00AE3AF0"/>
    <w:rsid w:val="00AE4391"/>
    <w:rsid w:val="00AE4C6E"/>
    <w:rsid w:val="00AE4DF9"/>
    <w:rsid w:val="00AE6938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AF"/>
    <w:rsid w:val="00B103F9"/>
    <w:rsid w:val="00B10CB4"/>
    <w:rsid w:val="00B10EDA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2F8"/>
    <w:rsid w:val="00B2057E"/>
    <w:rsid w:val="00B20793"/>
    <w:rsid w:val="00B20930"/>
    <w:rsid w:val="00B20B75"/>
    <w:rsid w:val="00B210A3"/>
    <w:rsid w:val="00B215DD"/>
    <w:rsid w:val="00B216D9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1E4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2CEF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864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4D9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3D9"/>
    <w:rsid w:val="00BB1529"/>
    <w:rsid w:val="00BB1972"/>
    <w:rsid w:val="00BB1B76"/>
    <w:rsid w:val="00BB20C3"/>
    <w:rsid w:val="00BB2C80"/>
    <w:rsid w:val="00BB37C0"/>
    <w:rsid w:val="00BB4B2E"/>
    <w:rsid w:val="00BB4C0B"/>
    <w:rsid w:val="00BB4F6E"/>
    <w:rsid w:val="00BB52FC"/>
    <w:rsid w:val="00BB5429"/>
    <w:rsid w:val="00BB5AE9"/>
    <w:rsid w:val="00BB5BDA"/>
    <w:rsid w:val="00BB6162"/>
    <w:rsid w:val="00BB677E"/>
    <w:rsid w:val="00BB751C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3A6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39D"/>
    <w:rsid w:val="00C14A0F"/>
    <w:rsid w:val="00C15B0D"/>
    <w:rsid w:val="00C1617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2C00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BB1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717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127D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0BB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D94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034F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765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57B"/>
    <w:rsid w:val="00CF77CC"/>
    <w:rsid w:val="00CF7BC5"/>
    <w:rsid w:val="00D003CB"/>
    <w:rsid w:val="00D034C5"/>
    <w:rsid w:val="00D04D48"/>
    <w:rsid w:val="00D04DB0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1F4E"/>
    <w:rsid w:val="00D22886"/>
    <w:rsid w:val="00D22E04"/>
    <w:rsid w:val="00D2312B"/>
    <w:rsid w:val="00D2399E"/>
    <w:rsid w:val="00D23E61"/>
    <w:rsid w:val="00D249E0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676"/>
    <w:rsid w:val="00D42813"/>
    <w:rsid w:val="00D42E74"/>
    <w:rsid w:val="00D4307B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4CB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4E40"/>
    <w:rsid w:val="00D650FF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94A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5AB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0B6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0BF4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878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3EA4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50B"/>
    <w:rsid w:val="00E6562D"/>
    <w:rsid w:val="00E65A79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4E81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8782D"/>
    <w:rsid w:val="00E907E9"/>
    <w:rsid w:val="00E90CBD"/>
    <w:rsid w:val="00E91F0A"/>
    <w:rsid w:val="00E9251D"/>
    <w:rsid w:val="00E925E2"/>
    <w:rsid w:val="00E92D98"/>
    <w:rsid w:val="00E930DB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1FF3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BFC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91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B3B"/>
    <w:rsid w:val="00F00BC8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2E2B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DD3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3BD"/>
    <w:rsid w:val="00F73496"/>
    <w:rsid w:val="00F73BC6"/>
    <w:rsid w:val="00F74D88"/>
    <w:rsid w:val="00F74E14"/>
    <w:rsid w:val="00F75706"/>
    <w:rsid w:val="00F7575B"/>
    <w:rsid w:val="00F75A4B"/>
    <w:rsid w:val="00F762AB"/>
    <w:rsid w:val="00F76DDF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1CB"/>
    <w:rsid w:val="00F8742F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A738F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07B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9B7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paragraph" w:customStyle="1" w:styleId="Akapitzlist5">
    <w:name w:val="Akapit z listą5"/>
    <w:basedOn w:val="Normal"/>
    <w:uiPriority w:val="99"/>
    <w:rsid w:val="00546047"/>
    <w:pPr>
      <w:widowControl/>
      <w:spacing w:after="160" w:line="259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customStyle="1" w:styleId="Domylnie">
    <w:name w:val="Domyślnie"/>
    <w:uiPriority w:val="99"/>
    <w:rsid w:val="00A437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FontStyle52">
    <w:name w:val="Font Style52"/>
    <w:uiPriority w:val="99"/>
    <w:rsid w:val="008810FA"/>
    <w:rPr>
      <w:rFonts w:ascii="Arial" w:hAnsi="Arial"/>
      <w:sz w:val="20"/>
    </w:rPr>
  </w:style>
  <w:style w:type="paragraph" w:customStyle="1" w:styleId="Akapitzlist">
    <w:name w:val="Akapit z listą"/>
    <w:basedOn w:val="Normal"/>
    <w:uiPriority w:val="99"/>
    <w:rsid w:val="00E930DB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TableContents">
    <w:name w:val="Table Contents"/>
    <w:basedOn w:val="Standard"/>
    <w:uiPriority w:val="99"/>
    <w:rsid w:val="003162E6"/>
    <w:pPr>
      <w:widowControl/>
      <w:suppressLineNumbers/>
      <w:spacing w:before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numbering" w:styleId="ArticleSection">
    <w:name w:val="Outline List 3"/>
    <w:basedOn w:val="NoList"/>
    <w:uiPriority w:val="99"/>
    <w:semiHidden/>
    <w:unhideWhenUsed/>
    <w:locked/>
    <w:rsid w:val="00C532D8"/>
    <w:pPr>
      <w:numPr>
        <w:numId w:val="5"/>
      </w:numPr>
    </w:pPr>
  </w:style>
  <w:style w:type="numbering" w:customStyle="1" w:styleId="Styl1">
    <w:name w:val="Styl1"/>
    <w:rsid w:val="00C532D8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C532D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C532D8"/>
    <w:pPr>
      <w:numPr>
        <w:numId w:val="4"/>
      </w:numPr>
    </w:pPr>
  </w:style>
  <w:style w:type="numbering" w:customStyle="1" w:styleId="Kreski">
    <w:name w:val="Kreski"/>
    <w:rsid w:val="00C532D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9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14</Pages>
  <Words>4164</Words>
  <Characters>24984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6</cp:revision>
  <cp:lastPrinted>2025-04-15T06:40:00Z</cp:lastPrinted>
  <dcterms:created xsi:type="dcterms:W3CDTF">2025-04-15T06:46:00Z</dcterms:created>
  <dcterms:modified xsi:type="dcterms:W3CDTF">2025-04-30T08:49:00Z</dcterms:modified>
</cp:coreProperties>
</file>