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BC3" w14:textId="0E8769EA" w:rsidR="005D20B9" w:rsidRPr="005D20B9" w:rsidRDefault="00C5516C" w:rsidP="00C5516C">
      <w:pPr>
        <w:keepLines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1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</w:t>
      </w:r>
      <w:r w:rsidR="00B922FA" w:rsidRPr="00C551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nak postępowania: Szp</w:t>
      </w:r>
      <w:r w:rsidRPr="00C551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-241</w:t>
      </w:r>
      <w:r w:rsidR="00B922FA" w:rsidRPr="00C551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/</w:t>
      </w:r>
      <w:r w:rsidR="009F599C" w:rsidRPr="00C551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FZ</w:t>
      </w:r>
      <w:r w:rsidR="005D20B9" w:rsidRPr="00C551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–</w:t>
      </w:r>
      <w:r w:rsidR="009F599C" w:rsidRPr="00C551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034</w:t>
      </w:r>
      <w:r w:rsidR="000F6735" w:rsidRPr="00C551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/202</w:t>
      </w:r>
      <w:r w:rsidR="009F599C" w:rsidRPr="00C551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091DA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F1420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A922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91DA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41E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E41E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60B40B53" w14:textId="77777777" w:rsidR="006D41FD" w:rsidRDefault="006D41FD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64EC06E" w14:textId="77777777" w:rsidR="006D41FD" w:rsidRPr="005D20B9" w:rsidRDefault="006D41FD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3E28A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CAEE0" w14:textId="77777777" w:rsidR="00336C21" w:rsidRDefault="005D20B9" w:rsidP="003E28A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Hlk197597191"/>
      <w:r w:rsidR="00336C21">
        <w:rPr>
          <w:rFonts w:ascii="Times New Roman" w:eastAsia="Calibri" w:hAnsi="Times New Roman" w:cs="Times New Roman"/>
          <w:b/>
          <w:sz w:val="28"/>
          <w:szCs w:val="28"/>
        </w:rPr>
        <w:t>Dostawa wyrobów medycznych stosowanych w Pracowni Hemodynamiki</w:t>
      </w:r>
    </w:p>
    <w:p w14:paraId="5E76705C" w14:textId="0A4D24CE" w:rsidR="005D20B9" w:rsidRPr="000D08E8" w:rsidRDefault="00336C21" w:rsidP="003E28A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Wojewódzki</w:t>
      </w:r>
      <w:r w:rsidR="008C562B">
        <w:rPr>
          <w:rFonts w:ascii="Times New Roman" w:eastAsia="Calibri" w:hAnsi="Times New Roman" w:cs="Times New Roman"/>
          <w:b/>
          <w:sz w:val="28"/>
          <w:szCs w:val="28"/>
        </w:rPr>
        <w:t>ego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Szpitala Specjalistycznego we Wrocławiu</w:t>
      </w:r>
    </w:p>
    <w:bookmarkEnd w:id="0"/>
    <w:p w14:paraId="00C15D88" w14:textId="77777777" w:rsidR="005D20B9" w:rsidRPr="00DC7D5D" w:rsidRDefault="005D20B9" w:rsidP="003E28A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_RefHeading__4_381024118"/>
      <w:bookmarkEnd w:id="1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5D20B9" w:rsidRPr="00DE47D3" w14:paraId="582E51AB" w14:textId="77777777" w:rsidTr="003E28AF">
        <w:trPr>
          <w:trHeight w:val="416"/>
        </w:trPr>
        <w:tc>
          <w:tcPr>
            <w:tcW w:w="9535" w:type="dxa"/>
            <w:shd w:val="clear" w:color="auto" w:fill="DBE5F1" w:themeFill="accent1" w:themeFillTint="33"/>
          </w:tcPr>
          <w:p w14:paraId="49126D62" w14:textId="77777777" w:rsidR="005D20B9" w:rsidRPr="003E28AF" w:rsidRDefault="005D20B9" w:rsidP="007B1FDE">
            <w:pPr>
              <w:pStyle w:val="Akapitzlist"/>
              <w:keepNext/>
              <w:keepLines/>
              <w:numPr>
                <w:ilvl w:val="0"/>
                <w:numId w:val="67"/>
              </w:numPr>
              <w:tabs>
                <w:tab w:val="left" w:pos="432"/>
              </w:tabs>
              <w:suppressAutoHyphens/>
              <w:autoSpaceDN w:val="0"/>
              <w:spacing w:before="240" w:after="0" w:line="240" w:lineRule="auto"/>
              <w:ind w:left="78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" w:name="_Toc62056956"/>
            <w:r w:rsidRPr="003E28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2"/>
          </w:p>
          <w:p w14:paraId="62FB27AF" w14:textId="77777777" w:rsidR="00851403" w:rsidRPr="00EB4DA8" w:rsidRDefault="00851403" w:rsidP="003E28AF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D858C2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3" w:name="__RefHeading__66_381024118"/>
      <w:bookmarkStart w:id="4" w:name="_Toc62056957"/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4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5"/>
    </w:p>
    <w:p w14:paraId="52EA1F11" w14:textId="77777777" w:rsidR="005D20B9" w:rsidRPr="00F67DD8" w:rsidRDefault="002729BA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6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7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7"/>
    </w:p>
    <w:p w14:paraId="4FF4284B" w14:textId="2774398D" w:rsidR="005D20B9" w:rsidRPr="00D53C1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8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Zamówień Publicznych</w:t>
      </w:r>
      <w:bookmarkEnd w:id="8"/>
    </w:p>
    <w:p w14:paraId="64BA9B7D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9"/>
    </w:p>
    <w:p w14:paraId="65EBE6DF" w14:textId="77777777" w:rsidR="00F67DD8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0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10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5157C2">
        <w:rPr>
          <w:rFonts w:ascii="Times New Roman" w:eastAsia="Times New Roman" w:hAnsi="Times New Roman" w:cs="Times New Roman"/>
          <w:lang w:eastAsia="ar-SA"/>
        </w:rPr>
        <w:t>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78BF9269" w:rsidR="00D22E84" w:rsidRPr="00E41E15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E41E15">
        <w:rPr>
          <w:rFonts w:ascii="Times New Roman" w:eastAsia="Times New Roman" w:hAnsi="Times New Roman" w:cs="Times New Roman"/>
          <w:bCs/>
          <w:lang w:eastAsia="ar-SA"/>
        </w:rPr>
        <w:t>71 73</w:t>
      </w:r>
      <w:r w:rsidR="00644782" w:rsidRPr="00E41E15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Pr="00E41E15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1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1"/>
    </w:p>
    <w:p w14:paraId="3249A7F3" w14:textId="77777777" w:rsidR="007C55C1" w:rsidRPr="00B35617" w:rsidRDefault="000F6735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2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2"/>
      </w:hyperlink>
    </w:p>
    <w:p w14:paraId="4EBCD8DD" w14:textId="77777777" w:rsidR="00DE47D3" w:rsidRPr="00D53C13" w:rsidRDefault="00DE47D3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3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3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1663B17" w:rsidR="00F67DD8" w:rsidRPr="002E271C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u w:val="single"/>
        </w:rPr>
      </w:pPr>
      <w:bookmarkStart w:id="14" w:name="_Toc62056968"/>
      <w:r>
        <w:t xml:space="preserve">      </w:t>
      </w:r>
      <w:hyperlink r:id="rId10" w:history="1">
        <w:r w:rsidRPr="002E271C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2E271C" w:rsidRPr="002E271C">
        <w:rPr>
          <w:rStyle w:val="Hipercze"/>
          <w:rFonts w:ascii="Times New Roman" w:hAnsi="Times New Roman" w:cs="Times New Roman"/>
        </w:rPr>
        <w:t xml:space="preserve"> </w:t>
      </w:r>
    </w:p>
    <w:p w14:paraId="326697E7" w14:textId="77777777" w:rsidR="00E7715E" w:rsidRDefault="00E7715E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4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DE47D3" w:rsidRPr="00DE47D3" w14:paraId="279FBC91" w14:textId="77777777" w:rsidTr="003E28AF">
        <w:trPr>
          <w:trHeight w:val="858"/>
        </w:trPr>
        <w:tc>
          <w:tcPr>
            <w:tcW w:w="9535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7B1FDE">
            <w:pPr>
              <w:pStyle w:val="Akapitzlist"/>
              <w:keepNext/>
              <w:keepLines/>
              <w:numPr>
                <w:ilvl w:val="0"/>
                <w:numId w:val="67"/>
              </w:numPr>
              <w:suppressAutoHyphens/>
              <w:autoSpaceDN w:val="0"/>
              <w:spacing w:before="240"/>
              <w:ind w:left="78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5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5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6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6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5D20B9" w:rsidRPr="005D20B9" w14:paraId="6B6FB331" w14:textId="77777777" w:rsidTr="003E28AF">
        <w:tc>
          <w:tcPr>
            <w:tcW w:w="9540" w:type="dxa"/>
            <w:shd w:val="clear" w:color="auto" w:fill="DBE5F1" w:themeFill="accent1" w:themeFillTint="33"/>
          </w:tcPr>
          <w:p w14:paraId="76F96CAF" w14:textId="062BB847" w:rsidR="005D20B9" w:rsidRPr="003E28AF" w:rsidRDefault="005D20B9" w:rsidP="007B1FDE">
            <w:pPr>
              <w:pStyle w:val="Akapitzlist"/>
              <w:keepNext/>
              <w:keepLines/>
              <w:numPr>
                <w:ilvl w:val="0"/>
                <w:numId w:val="67"/>
              </w:numPr>
              <w:tabs>
                <w:tab w:val="left" w:pos="432"/>
              </w:tabs>
              <w:suppressAutoHyphens/>
              <w:autoSpaceDN w:val="0"/>
              <w:spacing w:before="240" w:after="0" w:line="240" w:lineRule="auto"/>
              <w:ind w:left="795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E28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3E28AF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7" w:name="__RefHeading__68_381024118"/>
      <w:bookmarkEnd w:id="17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11425FDE" w14:textId="35308E90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>
        <w:rPr>
          <w:rFonts w:ascii="Times New Roman" w:eastAsia="Times New Roman" w:hAnsi="Times New Roman"/>
          <w:szCs w:val="24"/>
          <w:lang w:eastAsia="ar-SA"/>
        </w:rPr>
        <w:t>2</w:t>
      </w:r>
      <w:r w:rsidR="00367265">
        <w:rPr>
          <w:rFonts w:ascii="Times New Roman" w:eastAsia="Times New Roman" w:hAnsi="Times New Roman"/>
          <w:szCs w:val="24"/>
          <w:lang w:eastAsia="ar-SA"/>
        </w:rPr>
        <w:t>4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Cs w:val="24"/>
          <w:lang w:eastAsia="ar-SA"/>
        </w:rPr>
        <w:t>1</w:t>
      </w:r>
      <w:r w:rsidR="00367265">
        <w:rPr>
          <w:rFonts w:ascii="Times New Roman" w:eastAsia="Times New Roman" w:hAnsi="Times New Roman"/>
          <w:szCs w:val="24"/>
          <w:lang w:eastAsia="ar-SA"/>
        </w:rPr>
        <w:t xml:space="preserve">320 </w:t>
      </w:r>
      <w:proofErr w:type="spellStart"/>
      <w:r w:rsidR="00367265">
        <w:rPr>
          <w:rFonts w:ascii="Times New Roman" w:eastAsia="Times New Roman" w:hAnsi="Times New Roman"/>
          <w:szCs w:val="24"/>
          <w:lang w:eastAsia="ar-SA"/>
        </w:rPr>
        <w:t>t.j</w:t>
      </w:r>
      <w:proofErr w:type="spellEnd"/>
      <w:r w:rsidRPr="00D05832">
        <w:rPr>
          <w:rFonts w:ascii="Times New Roman" w:eastAsia="Times New Roman" w:hAnsi="Times New Roman"/>
          <w:szCs w:val="24"/>
          <w:lang w:eastAsia="ar-SA"/>
        </w:rPr>
        <w:t xml:space="preserve">.), zwana dalej ustawą </w:t>
      </w:r>
      <w:proofErr w:type="spellStart"/>
      <w:r w:rsidRPr="00D05832">
        <w:rPr>
          <w:rFonts w:ascii="Times New Roman" w:eastAsia="Times New Roman" w:hAnsi="Times New Roman"/>
          <w:szCs w:val="24"/>
          <w:lang w:eastAsia="ar-SA"/>
        </w:rPr>
        <w:t>Pzp</w:t>
      </w:r>
      <w:proofErr w:type="spellEnd"/>
      <w:r w:rsidRPr="00D05832">
        <w:rPr>
          <w:rFonts w:ascii="Times New Roman" w:eastAsia="Times New Roman" w:hAnsi="Times New Roman"/>
          <w:szCs w:val="24"/>
          <w:lang w:eastAsia="ar-SA"/>
        </w:rPr>
        <w:t>,</w:t>
      </w:r>
    </w:p>
    <w:p w14:paraId="3A647308" w14:textId="77777777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A9DDA44" w14:textId="05F72628" w:rsidR="00CE53E5" w:rsidRPr="003B4859" w:rsidRDefault="00CE53E5" w:rsidP="00CE5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</w:t>
      </w:r>
      <w:r w:rsidR="00367265">
        <w:rPr>
          <w:rFonts w:ascii="Times New Roman" w:eastAsia="Times New Roman" w:hAnsi="Times New Roman"/>
          <w:lang w:eastAsia="ar-SA"/>
        </w:rPr>
        <w:t>3</w:t>
      </w:r>
      <w:r>
        <w:rPr>
          <w:rFonts w:ascii="Times New Roman" w:eastAsia="Times New Roman" w:hAnsi="Times New Roman"/>
          <w:lang w:eastAsia="ar-SA"/>
        </w:rPr>
        <w:t xml:space="preserve"> poz. 1</w:t>
      </w:r>
      <w:r w:rsidR="00367265">
        <w:rPr>
          <w:rFonts w:ascii="Times New Roman" w:eastAsia="Times New Roman" w:hAnsi="Times New Roman"/>
          <w:lang w:eastAsia="ar-SA"/>
        </w:rPr>
        <w:t>344</w:t>
      </w:r>
      <w:r>
        <w:rPr>
          <w:rFonts w:ascii="Times New Roman" w:eastAsia="Times New Roman" w:hAnsi="Times New Roman"/>
          <w:lang w:eastAsia="ar-SA"/>
        </w:rPr>
        <w:t>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4CB2CCE" w14:textId="56A7C147" w:rsidR="00CE53E5" w:rsidRPr="00BF7A04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>
        <w:rPr>
          <w:rFonts w:ascii="Times New Roman" w:hAnsi="Times New Roman"/>
        </w:rPr>
        <w:t>obach Medycznych (Dz. U. z 202</w:t>
      </w:r>
      <w:r w:rsidR="0036726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poz. </w:t>
      </w:r>
      <w:r w:rsidR="00367265">
        <w:rPr>
          <w:rFonts w:ascii="Times New Roman" w:hAnsi="Times New Roman"/>
        </w:rPr>
        <w:t>1620</w:t>
      </w:r>
      <w:r w:rsidRPr="00BF7A04">
        <w:rPr>
          <w:rFonts w:ascii="Times New Roman" w:hAnsi="Times New Roman"/>
        </w:rPr>
        <w:t>),</w:t>
      </w:r>
    </w:p>
    <w:p w14:paraId="1182CD54" w14:textId="77777777" w:rsidR="00CE53E5" w:rsidRPr="008E0C66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78C256EF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</w:t>
      </w:r>
      <w:r w:rsidR="00CE53E5" w:rsidRPr="00CE53E5">
        <w:rPr>
          <w:rFonts w:ascii="Times New Roman" w:eastAsia="Arial" w:hAnsi="Times New Roman" w:cs="Times New Roman"/>
          <w:lang w:eastAsia="ar-SA"/>
        </w:rPr>
        <w:t>Dz. U. z 202</w:t>
      </w:r>
      <w:r w:rsidR="00367265">
        <w:rPr>
          <w:rFonts w:ascii="Times New Roman" w:eastAsia="Arial" w:hAnsi="Times New Roman" w:cs="Times New Roman"/>
          <w:lang w:eastAsia="ar-SA"/>
        </w:rPr>
        <w:t>4</w:t>
      </w:r>
      <w:r w:rsidR="00CE53E5" w:rsidRPr="00CE53E5">
        <w:rPr>
          <w:rFonts w:ascii="Times New Roman" w:eastAsia="Arial" w:hAnsi="Times New Roman" w:cs="Times New Roman"/>
          <w:lang w:eastAsia="ar-SA"/>
        </w:rPr>
        <w:t xml:space="preserve"> r., poz. 1</w:t>
      </w:r>
      <w:r w:rsidR="00367265">
        <w:rPr>
          <w:rFonts w:ascii="Times New Roman" w:eastAsia="Arial" w:hAnsi="Times New Roman" w:cs="Times New Roman"/>
          <w:lang w:eastAsia="ar-SA"/>
        </w:rPr>
        <w:t>061</w:t>
      </w:r>
      <w:r w:rsidR="00CE53E5" w:rsidRPr="00CE53E5">
        <w:rPr>
          <w:rFonts w:ascii="Times New Roman" w:eastAsia="Arial" w:hAnsi="Times New Roman" w:cs="Times New Roman"/>
          <w:lang w:eastAsia="ar-SA"/>
        </w:rPr>
        <w:t>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 xml:space="preserve">owa w art. 139 ust. 1 ustawy </w:t>
      </w:r>
      <w:proofErr w:type="spellStart"/>
      <w:r w:rsidR="002D6A4D" w:rsidRPr="003827CE">
        <w:rPr>
          <w:rFonts w:ascii="Times New Roman" w:eastAsia="Arial" w:hAnsi="Times New Roman" w:cs="Times New Roman"/>
          <w:b/>
          <w:lang w:eastAsia="ar-SA"/>
        </w:rPr>
        <w:t>Pzp</w:t>
      </w:r>
      <w:proofErr w:type="spellEnd"/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5D20B9" w:rsidRPr="005D20B9" w14:paraId="0F57ABEC" w14:textId="77777777" w:rsidTr="003E28AF">
        <w:trPr>
          <w:trHeight w:val="778"/>
        </w:trPr>
        <w:tc>
          <w:tcPr>
            <w:tcW w:w="9540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7B1FDE">
            <w:pPr>
              <w:pStyle w:val="Akapitzlist"/>
              <w:keepNext/>
              <w:keepLines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ind w:left="795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8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8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4D38BEB" w14:textId="71CCBD95" w:rsidR="007D4470" w:rsidRDefault="007D4470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bookmarkStart w:id="19" w:name="__RefHeading__70_381024118"/>
      <w:bookmarkEnd w:id="19"/>
      <w:r w:rsidRPr="007D4470">
        <w:rPr>
          <w:rFonts w:ascii="Times New Roman" w:eastAsia="Calibri" w:hAnsi="Times New Roman" w:cs="Times New Roman"/>
        </w:rPr>
        <w:t xml:space="preserve">Przedmiotem zamówienia jest dostawa </w:t>
      </w:r>
      <w:r w:rsidR="00CE53E5">
        <w:rPr>
          <w:rFonts w:ascii="Times New Roman" w:eastAsia="Calibri" w:hAnsi="Times New Roman" w:cs="Times New Roman"/>
        </w:rPr>
        <w:t xml:space="preserve">wyrobów medycznych stosowanych w </w:t>
      </w:r>
      <w:r w:rsidR="00D833FF">
        <w:rPr>
          <w:rFonts w:ascii="Times New Roman" w:eastAsia="Calibri" w:hAnsi="Times New Roman" w:cs="Times New Roman"/>
        </w:rPr>
        <w:t>P</w:t>
      </w:r>
      <w:r w:rsidR="0000231E">
        <w:rPr>
          <w:rFonts w:ascii="Times New Roman" w:eastAsia="Calibri" w:hAnsi="Times New Roman" w:cs="Times New Roman"/>
        </w:rPr>
        <w:t xml:space="preserve">racowni </w:t>
      </w:r>
      <w:r w:rsidR="00D833FF">
        <w:rPr>
          <w:rFonts w:ascii="Times New Roman" w:eastAsia="Calibri" w:hAnsi="Times New Roman" w:cs="Times New Roman"/>
        </w:rPr>
        <w:t>H</w:t>
      </w:r>
      <w:r w:rsidR="0000231E">
        <w:rPr>
          <w:rFonts w:ascii="Times New Roman" w:eastAsia="Calibri" w:hAnsi="Times New Roman" w:cs="Times New Roman"/>
        </w:rPr>
        <w:t xml:space="preserve">emodynamiki </w:t>
      </w:r>
      <w:r w:rsidR="000334E0">
        <w:rPr>
          <w:rFonts w:ascii="Times New Roman" w:eastAsia="Calibri" w:hAnsi="Times New Roman" w:cs="Times New Roman"/>
        </w:rPr>
        <w:t>do magazynu  Apteki,</w:t>
      </w:r>
      <w:r w:rsidRPr="007D4470">
        <w:rPr>
          <w:rFonts w:ascii="Times New Roman" w:eastAsia="Calibri" w:hAnsi="Times New Roman" w:cs="Times New Roman"/>
        </w:rPr>
        <w:t xml:space="preserve"> zwanych dalej „pro</w:t>
      </w:r>
      <w:r w:rsidR="000334E0">
        <w:rPr>
          <w:rFonts w:ascii="Times New Roman" w:eastAsia="Calibri" w:hAnsi="Times New Roman" w:cs="Times New Roman"/>
        </w:rPr>
        <w:t>duktami”.</w:t>
      </w:r>
    </w:p>
    <w:p w14:paraId="382EC82F" w14:textId="60C5C0B5" w:rsidR="004B7F47" w:rsidRPr="004B7F47" w:rsidRDefault="004B7F47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4B7F47">
        <w:rPr>
          <w:rFonts w:ascii="Times New Roman" w:eastAsia="Calibri" w:hAnsi="Times New Roman" w:cs="Times New Roman"/>
        </w:rPr>
        <w:t>Rodzaj oraz ilości sprzętu jednorazowego użytku określa</w:t>
      </w:r>
      <w:r w:rsidR="00941D65">
        <w:rPr>
          <w:rFonts w:ascii="Times New Roman" w:eastAsia="Calibri" w:hAnsi="Times New Roman" w:cs="Times New Roman"/>
        </w:rPr>
        <w:t>ją formularze asortymentowo-cenowe stanowiące Załączniki</w:t>
      </w:r>
      <w:r w:rsidR="00CE53E5">
        <w:rPr>
          <w:rFonts w:ascii="Times New Roman" w:eastAsia="Calibri" w:hAnsi="Times New Roman" w:cs="Times New Roman"/>
        </w:rPr>
        <w:t xml:space="preserve"> </w:t>
      </w:r>
      <w:r w:rsidR="00CE53E5" w:rsidRPr="00FE61CF">
        <w:rPr>
          <w:rFonts w:ascii="Times New Roman" w:eastAsia="Calibri" w:hAnsi="Times New Roman" w:cs="Times New Roman"/>
          <w:b/>
          <w:bCs/>
        </w:rPr>
        <w:t>1.1-1.</w:t>
      </w:r>
      <w:r w:rsidR="00FE61CF" w:rsidRPr="00FE61CF">
        <w:rPr>
          <w:rFonts w:ascii="Times New Roman" w:eastAsia="Calibri" w:hAnsi="Times New Roman" w:cs="Times New Roman"/>
          <w:b/>
          <w:bCs/>
        </w:rPr>
        <w:t>59</w:t>
      </w:r>
      <w:r w:rsidR="00941D65" w:rsidRPr="00FE61CF">
        <w:rPr>
          <w:rFonts w:ascii="Times New Roman" w:eastAsia="Calibri" w:hAnsi="Times New Roman" w:cs="Times New Roman"/>
          <w:b/>
          <w:bCs/>
        </w:rPr>
        <w:t xml:space="preserve"> </w:t>
      </w:r>
      <w:r w:rsidR="00941D65">
        <w:rPr>
          <w:rFonts w:ascii="Times New Roman" w:eastAsia="Calibri" w:hAnsi="Times New Roman" w:cs="Times New Roman"/>
        </w:rPr>
        <w:t>do SWZ</w:t>
      </w:r>
      <w:r w:rsidRPr="004B7F47">
        <w:rPr>
          <w:rFonts w:ascii="Times New Roman" w:eastAsia="Calibri" w:hAnsi="Times New Roman" w:cs="Times New Roman"/>
        </w:rPr>
        <w:t>.</w:t>
      </w:r>
    </w:p>
    <w:p w14:paraId="3E433F02" w14:textId="7315760A" w:rsidR="003F32FC" w:rsidRPr="00360804" w:rsidRDefault="003F32FC" w:rsidP="00144097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0" w:name="_Hlk98847661"/>
      <w:r w:rsidRPr="00BC08EA">
        <w:rPr>
          <w:rFonts w:ascii="Times New Roman" w:eastAsia="Calibri" w:hAnsi="Times New Roman" w:cs="Times New Roman"/>
        </w:rPr>
        <w:t xml:space="preserve">Przedmiot zamówienia obejmuje powierzenie Zamawiającemu w depozyt przedmiotu zamówienia </w:t>
      </w:r>
      <w:r w:rsidRPr="004E48BA">
        <w:rPr>
          <w:rFonts w:ascii="Times New Roman" w:eastAsia="Calibri" w:hAnsi="Times New Roman" w:cs="Times New Roman"/>
        </w:rPr>
        <w:t xml:space="preserve">określonego </w:t>
      </w:r>
      <w:r w:rsidRPr="00022E40">
        <w:rPr>
          <w:rFonts w:ascii="Times New Roman" w:eastAsia="Calibri" w:hAnsi="Times New Roman" w:cs="Times New Roman"/>
          <w:b/>
          <w:bCs/>
        </w:rPr>
        <w:t xml:space="preserve">w </w:t>
      </w:r>
      <w:r w:rsidR="00941D65" w:rsidRPr="00022E40">
        <w:rPr>
          <w:rFonts w:ascii="Times New Roman" w:eastAsia="Calibri" w:hAnsi="Times New Roman" w:cs="Times New Roman"/>
          <w:b/>
          <w:bCs/>
        </w:rPr>
        <w:t>Pakiecie nr</w:t>
      </w:r>
      <w:r w:rsidR="00D84AB9">
        <w:rPr>
          <w:rFonts w:ascii="Times New Roman" w:eastAsia="Calibri" w:hAnsi="Times New Roman" w:cs="Times New Roman"/>
          <w:b/>
          <w:bCs/>
        </w:rPr>
        <w:t xml:space="preserve"> 2,</w:t>
      </w:r>
      <w:r w:rsidR="00144097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3,</w:t>
      </w:r>
      <w:r w:rsidR="00144097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5,</w:t>
      </w:r>
      <w:r w:rsidR="00144097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6,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7,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8,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10,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14,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15,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16,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18,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19,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20,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22,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23,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24,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25,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26,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27,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D84AB9">
        <w:rPr>
          <w:rFonts w:ascii="Times New Roman" w:eastAsia="Calibri" w:hAnsi="Times New Roman" w:cs="Times New Roman"/>
          <w:b/>
          <w:bCs/>
        </w:rPr>
        <w:t>28</w:t>
      </w:r>
      <w:r w:rsidR="00144097">
        <w:rPr>
          <w:rFonts w:ascii="Times New Roman" w:eastAsia="Calibri" w:hAnsi="Times New Roman" w:cs="Times New Roman"/>
          <w:b/>
          <w:bCs/>
        </w:rPr>
        <w:t>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29,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36,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37,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38,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39</w:t>
      </w:r>
      <w:r w:rsidR="00022E40">
        <w:rPr>
          <w:rFonts w:ascii="Times New Roman" w:eastAsia="Calibri" w:hAnsi="Times New Roman" w:cs="Times New Roman"/>
          <w:b/>
          <w:bCs/>
        </w:rPr>
        <w:t xml:space="preserve">, </w:t>
      </w:r>
      <w:r w:rsidR="00144097">
        <w:rPr>
          <w:rFonts w:ascii="Times New Roman" w:eastAsia="Calibri" w:hAnsi="Times New Roman" w:cs="Times New Roman"/>
          <w:b/>
          <w:bCs/>
        </w:rPr>
        <w:t>41,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43,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44,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45,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46,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47,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48,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49,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50,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51,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53,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54,</w:t>
      </w:r>
      <w:r w:rsidR="00022E40">
        <w:rPr>
          <w:rFonts w:ascii="Times New Roman" w:eastAsia="Calibri" w:hAnsi="Times New Roman" w:cs="Times New Roman"/>
          <w:b/>
          <w:bCs/>
        </w:rPr>
        <w:t xml:space="preserve"> </w:t>
      </w:r>
      <w:r w:rsidR="00144097">
        <w:rPr>
          <w:rFonts w:ascii="Times New Roman" w:eastAsia="Calibri" w:hAnsi="Times New Roman" w:cs="Times New Roman"/>
          <w:b/>
          <w:bCs/>
        </w:rPr>
        <w:t>59</w:t>
      </w:r>
      <w:r w:rsidR="00941D65" w:rsidRPr="004E48BA">
        <w:rPr>
          <w:rFonts w:ascii="Times New Roman" w:eastAsia="Calibri" w:hAnsi="Times New Roman" w:cs="Times New Roman"/>
          <w:b/>
          <w:bCs/>
        </w:rPr>
        <w:t xml:space="preserve"> </w:t>
      </w:r>
      <w:r w:rsidRPr="00BC08EA">
        <w:rPr>
          <w:rFonts w:ascii="Times New Roman" w:eastAsia="Calibri" w:hAnsi="Times New Roman" w:cs="Times New Roman"/>
        </w:rPr>
        <w:t xml:space="preserve">oraz jego sprzedaż w ilościach niezbędnych do uzupełnienia depozytu na zasadach określonych we wzorze umowy stanowiącej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 do SWZ.</w:t>
      </w:r>
    </w:p>
    <w:p w14:paraId="06983D07" w14:textId="3CB92A55" w:rsidR="00360804" w:rsidRPr="00187368" w:rsidRDefault="00360804" w:rsidP="00187368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0804">
        <w:rPr>
          <w:rFonts w:ascii="Times New Roman" w:eastAsia="Calibri" w:hAnsi="Times New Roman" w:cs="Times New Roman"/>
        </w:rPr>
        <w:t>Przedmiot zamówienia obejmuje użyczenie Zamawiającemu</w:t>
      </w:r>
      <w:r w:rsidR="00187368">
        <w:rPr>
          <w:rFonts w:ascii="Times New Roman" w:eastAsia="Calibri" w:hAnsi="Times New Roman" w:cs="Times New Roman"/>
        </w:rPr>
        <w:t xml:space="preserve"> urządzeń </w:t>
      </w:r>
      <w:r w:rsidR="00E56D86" w:rsidRPr="00187368">
        <w:rPr>
          <w:rFonts w:ascii="Times New Roman" w:eastAsia="Calibri" w:hAnsi="Times New Roman" w:cs="Times New Roman"/>
        </w:rPr>
        <w:t>określon</w:t>
      </w:r>
      <w:r w:rsidR="00187368">
        <w:rPr>
          <w:rFonts w:ascii="Times New Roman" w:eastAsia="Calibri" w:hAnsi="Times New Roman" w:cs="Times New Roman"/>
        </w:rPr>
        <w:t>ych</w:t>
      </w:r>
      <w:r w:rsidR="00E56D86" w:rsidRPr="00187368">
        <w:rPr>
          <w:rFonts w:ascii="Times New Roman" w:eastAsia="Calibri" w:hAnsi="Times New Roman" w:cs="Times New Roman"/>
        </w:rPr>
        <w:t xml:space="preserve"> w </w:t>
      </w:r>
      <w:r w:rsidR="00C85D95" w:rsidRPr="00406382">
        <w:rPr>
          <w:rFonts w:ascii="Times New Roman" w:eastAsia="Calibri" w:hAnsi="Times New Roman" w:cs="Times New Roman"/>
          <w:b/>
          <w:bCs/>
        </w:rPr>
        <w:t>P</w:t>
      </w:r>
      <w:r w:rsidR="00E56D86" w:rsidRPr="00406382">
        <w:rPr>
          <w:rFonts w:ascii="Times New Roman" w:eastAsia="Calibri" w:hAnsi="Times New Roman" w:cs="Times New Roman"/>
          <w:b/>
          <w:bCs/>
        </w:rPr>
        <w:t>akiecie nr</w:t>
      </w:r>
      <w:r w:rsidR="00187368">
        <w:rPr>
          <w:rFonts w:ascii="Times New Roman" w:eastAsia="Calibri" w:hAnsi="Times New Roman" w:cs="Times New Roman"/>
          <w:b/>
          <w:bCs/>
        </w:rPr>
        <w:t xml:space="preserve"> 3,</w:t>
      </w:r>
      <w:r w:rsidR="00616D33">
        <w:rPr>
          <w:rFonts w:ascii="Times New Roman" w:eastAsia="Calibri" w:hAnsi="Times New Roman" w:cs="Times New Roman"/>
          <w:b/>
          <w:bCs/>
        </w:rPr>
        <w:t xml:space="preserve"> </w:t>
      </w:r>
      <w:r w:rsidR="00187368">
        <w:rPr>
          <w:rFonts w:ascii="Times New Roman" w:eastAsia="Calibri" w:hAnsi="Times New Roman" w:cs="Times New Roman"/>
          <w:b/>
          <w:bCs/>
        </w:rPr>
        <w:t>10,</w:t>
      </w:r>
      <w:r w:rsidR="00616D33">
        <w:rPr>
          <w:rFonts w:ascii="Times New Roman" w:eastAsia="Calibri" w:hAnsi="Times New Roman" w:cs="Times New Roman"/>
          <w:b/>
          <w:bCs/>
        </w:rPr>
        <w:t xml:space="preserve"> </w:t>
      </w:r>
      <w:r w:rsidR="00187368">
        <w:rPr>
          <w:rFonts w:ascii="Times New Roman" w:eastAsia="Calibri" w:hAnsi="Times New Roman" w:cs="Times New Roman"/>
          <w:b/>
          <w:bCs/>
        </w:rPr>
        <w:t>22,</w:t>
      </w:r>
      <w:r w:rsidR="00616D33">
        <w:rPr>
          <w:rFonts w:ascii="Times New Roman" w:eastAsia="Calibri" w:hAnsi="Times New Roman" w:cs="Times New Roman"/>
          <w:b/>
          <w:bCs/>
        </w:rPr>
        <w:t xml:space="preserve"> </w:t>
      </w:r>
      <w:r w:rsidR="00187368">
        <w:rPr>
          <w:rFonts w:ascii="Times New Roman" w:eastAsia="Calibri" w:hAnsi="Times New Roman" w:cs="Times New Roman"/>
          <w:b/>
          <w:bCs/>
        </w:rPr>
        <w:t>36,</w:t>
      </w:r>
      <w:r w:rsidR="00616D33">
        <w:rPr>
          <w:rFonts w:ascii="Times New Roman" w:eastAsia="Calibri" w:hAnsi="Times New Roman" w:cs="Times New Roman"/>
          <w:b/>
          <w:bCs/>
        </w:rPr>
        <w:t xml:space="preserve"> </w:t>
      </w:r>
      <w:r w:rsidR="00187368">
        <w:rPr>
          <w:rFonts w:ascii="Times New Roman" w:eastAsia="Calibri" w:hAnsi="Times New Roman" w:cs="Times New Roman"/>
          <w:b/>
          <w:bCs/>
        </w:rPr>
        <w:t>37,</w:t>
      </w:r>
      <w:r w:rsidR="00616D33">
        <w:rPr>
          <w:rFonts w:ascii="Times New Roman" w:eastAsia="Calibri" w:hAnsi="Times New Roman" w:cs="Times New Roman"/>
          <w:b/>
          <w:bCs/>
        </w:rPr>
        <w:t xml:space="preserve"> </w:t>
      </w:r>
      <w:r w:rsidR="00187368">
        <w:rPr>
          <w:rFonts w:ascii="Times New Roman" w:eastAsia="Calibri" w:hAnsi="Times New Roman" w:cs="Times New Roman"/>
          <w:b/>
          <w:bCs/>
        </w:rPr>
        <w:t>41,</w:t>
      </w:r>
      <w:r w:rsidR="00616D33">
        <w:rPr>
          <w:rFonts w:ascii="Times New Roman" w:eastAsia="Calibri" w:hAnsi="Times New Roman" w:cs="Times New Roman"/>
          <w:b/>
          <w:bCs/>
        </w:rPr>
        <w:t xml:space="preserve"> </w:t>
      </w:r>
      <w:r w:rsidR="00187368">
        <w:rPr>
          <w:rFonts w:ascii="Times New Roman" w:eastAsia="Calibri" w:hAnsi="Times New Roman" w:cs="Times New Roman"/>
          <w:b/>
          <w:bCs/>
        </w:rPr>
        <w:t>48,</w:t>
      </w:r>
      <w:r w:rsidR="00616D33">
        <w:rPr>
          <w:rFonts w:ascii="Times New Roman" w:eastAsia="Calibri" w:hAnsi="Times New Roman" w:cs="Times New Roman"/>
          <w:b/>
          <w:bCs/>
        </w:rPr>
        <w:t xml:space="preserve"> </w:t>
      </w:r>
      <w:r w:rsidR="00187368">
        <w:rPr>
          <w:rFonts w:ascii="Times New Roman" w:eastAsia="Calibri" w:hAnsi="Times New Roman" w:cs="Times New Roman"/>
          <w:b/>
          <w:bCs/>
        </w:rPr>
        <w:t>51,</w:t>
      </w:r>
      <w:r w:rsidR="00616D33">
        <w:rPr>
          <w:rFonts w:ascii="Times New Roman" w:eastAsia="Calibri" w:hAnsi="Times New Roman" w:cs="Times New Roman"/>
          <w:b/>
          <w:bCs/>
        </w:rPr>
        <w:t xml:space="preserve"> </w:t>
      </w:r>
      <w:r w:rsidR="00187368">
        <w:rPr>
          <w:rFonts w:ascii="Times New Roman" w:eastAsia="Calibri" w:hAnsi="Times New Roman" w:cs="Times New Roman"/>
          <w:b/>
          <w:bCs/>
        </w:rPr>
        <w:t>59</w:t>
      </w:r>
      <w:r w:rsidR="00E56D86" w:rsidRPr="00187368">
        <w:rPr>
          <w:rFonts w:ascii="Times New Roman" w:eastAsia="Calibri" w:hAnsi="Times New Roman" w:cs="Times New Roman"/>
        </w:rPr>
        <w:t>, uruchomieni</w:t>
      </w:r>
      <w:r w:rsidR="00187368">
        <w:rPr>
          <w:rFonts w:ascii="Times New Roman" w:eastAsia="Calibri" w:hAnsi="Times New Roman" w:cs="Times New Roman"/>
        </w:rPr>
        <w:t>e</w:t>
      </w:r>
      <w:r w:rsidR="00E56D86" w:rsidRPr="00187368">
        <w:rPr>
          <w:rFonts w:ascii="Times New Roman" w:eastAsia="Calibri" w:hAnsi="Times New Roman" w:cs="Times New Roman"/>
        </w:rPr>
        <w:t xml:space="preserve"> oraz udzieleni</w:t>
      </w:r>
      <w:r w:rsidR="00187368">
        <w:rPr>
          <w:rFonts w:ascii="Times New Roman" w:eastAsia="Calibri" w:hAnsi="Times New Roman" w:cs="Times New Roman"/>
        </w:rPr>
        <w:t>e</w:t>
      </w:r>
      <w:r w:rsidR="00E56D86" w:rsidRPr="00187368">
        <w:rPr>
          <w:rFonts w:ascii="Times New Roman" w:eastAsia="Calibri" w:hAnsi="Times New Roman" w:cs="Times New Roman"/>
        </w:rPr>
        <w:t xml:space="preserve"> instruktażu w zakresie  obsługi osobom wskazanym przez Zamawiającego w terminie uzgodnionym z Zamawiającym na zasadach określonych we wzorze umowy stanowiącej</w:t>
      </w:r>
      <w:r w:rsidR="00E56D86" w:rsidRPr="00187368">
        <w:rPr>
          <w:rFonts w:ascii="Times New Roman" w:eastAsia="Calibri" w:hAnsi="Times New Roman" w:cs="Times New Roman"/>
          <w:b/>
          <w:bCs/>
        </w:rPr>
        <w:t xml:space="preserve"> Załącznik nr 2.1 do SWZ.</w:t>
      </w:r>
    </w:p>
    <w:bookmarkEnd w:id="20"/>
    <w:p w14:paraId="3265BA01" w14:textId="77777777" w:rsidR="00D858C2" w:rsidRPr="00D858C2" w:rsidRDefault="00D858C2" w:rsidP="003E28AF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right="65" w:hanging="567"/>
        <w:contextualSpacing w:val="0"/>
        <w:jc w:val="both"/>
        <w:textAlignment w:val="baseline"/>
        <w:rPr>
          <w:rFonts w:ascii="Times New Roman" w:eastAsia="Calibri" w:hAnsi="Times New Roman" w:cs="Times New Roman"/>
          <w:vanish/>
        </w:rPr>
      </w:pPr>
    </w:p>
    <w:p w14:paraId="4E692D49" w14:textId="77777777" w:rsidR="00D858C2" w:rsidRPr="00D858C2" w:rsidRDefault="00D858C2" w:rsidP="003E28AF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right="65" w:hanging="567"/>
        <w:contextualSpacing w:val="0"/>
        <w:jc w:val="both"/>
        <w:textAlignment w:val="baseline"/>
        <w:rPr>
          <w:rFonts w:ascii="Times New Roman" w:eastAsia="Calibri" w:hAnsi="Times New Roman" w:cs="Times New Roman"/>
          <w:vanish/>
        </w:rPr>
      </w:pPr>
    </w:p>
    <w:p w14:paraId="47D56C12" w14:textId="77777777" w:rsidR="00D858C2" w:rsidRPr="00D858C2" w:rsidRDefault="00D858C2" w:rsidP="003E28AF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right="65" w:hanging="567"/>
        <w:contextualSpacing w:val="0"/>
        <w:jc w:val="both"/>
        <w:textAlignment w:val="baseline"/>
        <w:rPr>
          <w:rFonts w:ascii="Times New Roman" w:eastAsia="Calibri" w:hAnsi="Times New Roman" w:cs="Times New Roman"/>
          <w:vanish/>
        </w:rPr>
      </w:pPr>
    </w:p>
    <w:p w14:paraId="4C2CE803" w14:textId="77777777" w:rsidR="00D858C2" w:rsidRPr="00D858C2" w:rsidRDefault="00D858C2" w:rsidP="003E28AF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right="65" w:hanging="567"/>
        <w:contextualSpacing w:val="0"/>
        <w:jc w:val="both"/>
        <w:textAlignment w:val="baseline"/>
        <w:rPr>
          <w:rFonts w:ascii="Times New Roman" w:eastAsia="Calibri" w:hAnsi="Times New Roman" w:cs="Times New Roman"/>
          <w:vanish/>
        </w:rPr>
      </w:pPr>
    </w:p>
    <w:p w14:paraId="468E6B61" w14:textId="619FD7F6" w:rsidR="008A4E79" w:rsidRPr="008A4E79" w:rsidRDefault="008A4E79" w:rsidP="003E28AF">
      <w:pPr>
        <w:numPr>
          <w:ilvl w:val="0"/>
          <w:numId w:val="19"/>
        </w:numPr>
        <w:suppressAutoHyphens/>
        <w:autoSpaceDN w:val="0"/>
        <w:spacing w:after="0" w:line="240" w:lineRule="auto"/>
        <w:ind w:left="567" w:right="65" w:hanging="567"/>
        <w:jc w:val="both"/>
        <w:textAlignment w:val="baseline"/>
        <w:rPr>
          <w:rFonts w:ascii="Times New Roman" w:eastAsia="Calibri" w:hAnsi="Times New Roman" w:cs="Times New Roman"/>
        </w:rPr>
      </w:pPr>
      <w:r w:rsidRPr="00F77F49">
        <w:rPr>
          <w:rFonts w:ascii="Times New Roman" w:eastAsia="Calibri" w:hAnsi="Times New Roman" w:cs="Times New Roman"/>
        </w:rPr>
        <w:t>Termin ważności oferowanych wyrobów medycznych nie może być krótszy niż 12 miesięcy liczony od</w:t>
      </w:r>
      <w:r w:rsidR="00D51354">
        <w:rPr>
          <w:rFonts w:ascii="Times New Roman" w:eastAsia="Calibri" w:hAnsi="Times New Roman" w:cs="Times New Roman"/>
        </w:rPr>
        <w:t xml:space="preserve"> </w:t>
      </w:r>
      <w:r w:rsidR="008A6D67">
        <w:rPr>
          <w:rFonts w:ascii="Times New Roman" w:eastAsia="Calibri" w:hAnsi="Times New Roman" w:cs="Times New Roman"/>
        </w:rPr>
        <w:t xml:space="preserve"> </w:t>
      </w:r>
      <w:r w:rsidR="00D51354">
        <w:rPr>
          <w:rFonts w:ascii="Times New Roman" w:eastAsia="Calibri" w:hAnsi="Times New Roman" w:cs="Times New Roman"/>
        </w:rPr>
        <w:t>daty dostawy</w:t>
      </w:r>
      <w:r w:rsidR="002101C4">
        <w:rPr>
          <w:rFonts w:ascii="Times New Roman" w:eastAsia="Calibri" w:hAnsi="Times New Roman" w:cs="Times New Roman"/>
          <w:i/>
          <w:color w:val="FF0000"/>
        </w:rPr>
        <w:t>.</w:t>
      </w:r>
    </w:p>
    <w:p w14:paraId="3FCABA09" w14:textId="77777777" w:rsidR="008E053F" w:rsidRPr="005D20B9" w:rsidRDefault="008E053F" w:rsidP="003E28AF">
      <w:pPr>
        <w:numPr>
          <w:ilvl w:val="0"/>
          <w:numId w:val="19"/>
        </w:numPr>
        <w:suppressAutoHyphens/>
        <w:autoSpaceDN w:val="0"/>
        <w:spacing w:after="0" w:line="240" w:lineRule="auto"/>
        <w:ind w:left="567" w:right="65" w:hanging="567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D20B9" w:rsidRDefault="008E053F" w:rsidP="003E28AF">
      <w:pPr>
        <w:numPr>
          <w:ilvl w:val="0"/>
          <w:numId w:val="19"/>
        </w:numPr>
        <w:suppressAutoHyphens/>
        <w:autoSpaceDN w:val="0"/>
        <w:spacing w:after="0" w:line="240" w:lineRule="auto"/>
        <w:ind w:left="567" w:right="65" w:hanging="567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3E28AF">
      <w:pPr>
        <w:numPr>
          <w:ilvl w:val="0"/>
          <w:numId w:val="19"/>
        </w:numPr>
        <w:suppressAutoHyphens/>
        <w:autoSpaceDN w:val="0"/>
        <w:spacing w:after="0" w:line="240" w:lineRule="auto"/>
        <w:ind w:left="567" w:right="65" w:hanging="567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3C423284" w:rsidR="00F0442B" w:rsidRPr="00F0442B" w:rsidRDefault="00F0442B" w:rsidP="003E28AF">
      <w:pPr>
        <w:pStyle w:val="Akapitzlist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="00AF46F9">
        <w:rPr>
          <w:rFonts w:ascii="Times New Roman" w:eastAsia="Calibri" w:hAnsi="Times New Roman" w:cs="Times New Roman"/>
        </w:rPr>
        <w:t xml:space="preserve">WZ. </w:t>
      </w:r>
      <w:r w:rsidRPr="00486744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14529C74" w14:textId="010C2594" w:rsidR="008E053F" w:rsidRPr="005D20B9" w:rsidRDefault="008E053F" w:rsidP="002D4F89">
      <w:pPr>
        <w:numPr>
          <w:ilvl w:val="0"/>
          <w:numId w:val="19"/>
        </w:numPr>
        <w:suppressAutoHyphens/>
        <w:autoSpaceDN w:val="0"/>
        <w:spacing w:after="0" w:line="240" w:lineRule="auto"/>
        <w:ind w:left="709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>
        <w:rPr>
          <w:rFonts w:ascii="Times New Roman" w:eastAsia="Calibri" w:hAnsi="Times New Roman" w:cs="Times New Roman"/>
        </w:rPr>
        <w:t>w projek</w:t>
      </w:r>
      <w:r w:rsidR="008C3F26">
        <w:rPr>
          <w:rFonts w:ascii="Times New Roman" w:eastAsia="Calibri" w:hAnsi="Times New Roman" w:cs="Times New Roman"/>
        </w:rPr>
        <w:t>cie</w:t>
      </w:r>
      <w:r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um</w:t>
      </w:r>
      <w:r w:rsidR="008C3F26">
        <w:rPr>
          <w:rFonts w:ascii="Times New Roman" w:eastAsia="Calibri" w:hAnsi="Times New Roman" w:cs="Times New Roman"/>
        </w:rPr>
        <w:t>owy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stanowią</w:t>
      </w:r>
      <w:r w:rsidR="00EB6AE3">
        <w:rPr>
          <w:rFonts w:ascii="Times New Roman" w:eastAsia="Calibri" w:hAnsi="Times New Roman" w:cs="Times New Roman"/>
        </w:rPr>
        <w:t>cym</w:t>
      </w:r>
      <w:r>
        <w:rPr>
          <w:rFonts w:ascii="Times New Roman" w:eastAsia="Calibri" w:hAnsi="Times New Roman" w:cs="Times New Roman"/>
        </w:rPr>
        <w:t xml:space="preserve">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</w:t>
      </w:r>
      <w:r w:rsidR="00E950AB">
        <w:rPr>
          <w:rFonts w:ascii="Times New Roman" w:eastAsia="Calibri" w:hAnsi="Times New Roman" w:cs="Times New Roman"/>
          <w:b/>
          <w:bCs/>
        </w:rPr>
        <w:t xml:space="preserve"> oraz 2.1</w:t>
      </w:r>
      <w:r w:rsidR="007D4470" w:rsidRPr="00EB3F95">
        <w:rPr>
          <w:rFonts w:ascii="Times New Roman" w:eastAsia="Calibri" w:hAnsi="Times New Roman" w:cs="Times New Roman"/>
          <w:b/>
          <w:bCs/>
        </w:rPr>
        <w:t xml:space="preserve"> </w:t>
      </w:r>
      <w:r w:rsidRPr="00EB3F95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77777777" w:rsidR="008E053F" w:rsidRPr="005D20B9" w:rsidRDefault="008E053F" w:rsidP="002D4F89">
      <w:pPr>
        <w:numPr>
          <w:ilvl w:val="0"/>
          <w:numId w:val="19"/>
        </w:numPr>
        <w:suppressAutoHyphens/>
        <w:autoSpaceDN w:val="0"/>
        <w:spacing w:after="0" w:line="240" w:lineRule="auto"/>
        <w:ind w:left="709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633705DB" w14:textId="4434F963" w:rsidR="007C55C1" w:rsidRDefault="00DF2F03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</w:t>
      </w:r>
      <w:r w:rsidR="008A4E79" w:rsidRPr="008A6D67">
        <w:rPr>
          <w:rFonts w:ascii="Times New Roman" w:eastAsia="Calibri" w:hAnsi="Times New Roman" w:cs="Times New Roman"/>
          <w:b/>
          <w:bCs/>
        </w:rPr>
        <w:t>Kod CPV:</w:t>
      </w:r>
      <w:r w:rsidR="008A6D67" w:rsidRPr="008A6D67">
        <w:rPr>
          <w:rFonts w:ascii="Times New Roman" w:eastAsia="Calibri" w:hAnsi="Times New Roman" w:cs="Times New Roman"/>
          <w:b/>
          <w:bCs/>
        </w:rPr>
        <w:t xml:space="preserve"> </w:t>
      </w:r>
      <w:r w:rsidR="00EB6AE3" w:rsidRPr="00EB6AE3">
        <w:rPr>
          <w:rFonts w:ascii="Times New Roman" w:eastAsia="Calibri" w:hAnsi="Times New Roman" w:cs="Times New Roman"/>
          <w:b/>
          <w:bCs/>
        </w:rPr>
        <w:t>33140000-3 – materiały medyczne</w:t>
      </w:r>
      <w:r w:rsidR="008A4E79" w:rsidRPr="008A6D67">
        <w:rPr>
          <w:rFonts w:ascii="Times New Roman" w:eastAsia="Calibri" w:hAnsi="Times New Roman" w:cs="Times New Roman"/>
          <w:b/>
          <w:bCs/>
        </w:rPr>
        <w:t>,</w:t>
      </w:r>
    </w:p>
    <w:p w14:paraId="6159B717" w14:textId="49D1E265" w:rsidR="00091DA5" w:rsidRDefault="00091DA5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p w14:paraId="13E70BE5" w14:textId="77777777" w:rsidR="00091DA5" w:rsidRDefault="00091DA5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p w14:paraId="6A336BD2" w14:textId="77777777" w:rsidR="008A6D67" w:rsidRPr="008A6D6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E7715E" w14:paraId="3C3EA762" w14:textId="77777777" w:rsidTr="00A13ED9">
        <w:tc>
          <w:tcPr>
            <w:tcW w:w="9540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1" w:name="_Toc62056975"/>
          </w:p>
          <w:p w14:paraId="5D942A32" w14:textId="77777777" w:rsidR="00A13ED9" w:rsidRPr="00A13ED9" w:rsidRDefault="00A13ED9" w:rsidP="00D858C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349" w:hanging="283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vanish/>
                <w:lang w:eastAsia="ar-SA"/>
              </w:rPr>
            </w:pPr>
          </w:p>
          <w:p w14:paraId="2B646CAE" w14:textId="77777777" w:rsidR="00A13ED9" w:rsidRPr="00A13ED9" w:rsidRDefault="00A13ED9" w:rsidP="00D858C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349" w:hanging="283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vanish/>
                <w:lang w:eastAsia="ar-SA"/>
              </w:rPr>
            </w:pPr>
          </w:p>
          <w:p w14:paraId="06AE23A7" w14:textId="77777777" w:rsidR="00A13ED9" w:rsidRPr="00A13ED9" w:rsidRDefault="00A13ED9" w:rsidP="00D858C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349" w:hanging="283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vanish/>
                <w:lang w:eastAsia="ar-SA"/>
              </w:rPr>
            </w:pPr>
          </w:p>
          <w:p w14:paraId="7BC597B0" w14:textId="77777777" w:rsidR="00A13ED9" w:rsidRPr="00A13ED9" w:rsidRDefault="00A13ED9" w:rsidP="00D858C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349" w:hanging="283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vanish/>
                <w:lang w:eastAsia="ar-SA"/>
              </w:rPr>
            </w:pPr>
          </w:p>
          <w:p w14:paraId="02BC9DF0" w14:textId="619A6946" w:rsidR="00E7715E" w:rsidRDefault="001A611B" w:rsidP="00B55754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975" w:hanging="1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1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94EF9FB" w14:textId="4C93163F" w:rsidR="00EB3F95" w:rsidRPr="00EB6AE3" w:rsidRDefault="00EB6AE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EB6AE3">
        <w:rPr>
          <w:rFonts w:ascii="Times New Roman" w:eastAsia="Calibri" w:hAnsi="Times New Roman" w:cs="Times New Roman"/>
        </w:rPr>
        <w:t xml:space="preserve">Zamawiający dopuszcza składanie ofert częściowych </w:t>
      </w:r>
      <w:r w:rsidRPr="004E48BA">
        <w:rPr>
          <w:rFonts w:ascii="Times New Roman" w:eastAsia="Calibri" w:hAnsi="Times New Roman" w:cs="Times New Roman"/>
        </w:rPr>
        <w:t>–</w:t>
      </w:r>
      <w:r w:rsidR="007A72DA">
        <w:rPr>
          <w:rFonts w:ascii="Times New Roman" w:eastAsia="Calibri" w:hAnsi="Times New Roman" w:cs="Times New Roman"/>
        </w:rPr>
        <w:t xml:space="preserve"> </w:t>
      </w:r>
      <w:r w:rsidR="007A72DA" w:rsidRPr="007A72DA">
        <w:rPr>
          <w:rFonts w:ascii="Times New Roman" w:eastAsia="Calibri" w:hAnsi="Times New Roman" w:cs="Times New Roman"/>
          <w:b/>
          <w:bCs/>
        </w:rPr>
        <w:t xml:space="preserve">59 </w:t>
      </w:r>
      <w:r w:rsidRPr="007A72DA">
        <w:rPr>
          <w:rFonts w:ascii="Times New Roman" w:eastAsia="Calibri" w:hAnsi="Times New Roman" w:cs="Times New Roman"/>
          <w:b/>
          <w:bCs/>
        </w:rPr>
        <w:t>części.</w:t>
      </w:r>
      <w:r w:rsidRPr="00EB6AE3">
        <w:rPr>
          <w:rFonts w:ascii="Times New Roman" w:eastAsia="Calibri" w:hAnsi="Times New Roman" w:cs="Times New Roman"/>
        </w:rPr>
        <w:t xml:space="preserve"> Za część należy rozumieć „pakiet</w:t>
      </w:r>
      <w:r w:rsidRPr="00EB6AE3">
        <w:rPr>
          <w:rFonts w:ascii="Times New Roman" w:eastAsia="Calibri" w:hAnsi="Times New Roman" w:cs="Times New Roman"/>
          <w:i/>
        </w:rPr>
        <w:t>”.</w:t>
      </w:r>
      <w:r w:rsidRPr="00EB6AE3">
        <w:rPr>
          <w:rFonts w:ascii="Times New Roman" w:eastAsia="Calibri" w:hAnsi="Times New Roman" w:cs="Times New Roman"/>
        </w:rPr>
        <w:t xml:space="preserve"> Wykonawca może</w:t>
      </w:r>
      <w:r w:rsidR="00710750">
        <w:rPr>
          <w:rFonts w:ascii="Times New Roman" w:eastAsia="Calibri" w:hAnsi="Times New Roman" w:cs="Times New Roman"/>
        </w:rPr>
        <w:t xml:space="preserve"> złożyć ofertę w odniesieniu do</w:t>
      </w:r>
      <w:r w:rsidR="00265074" w:rsidRPr="00265074">
        <w:rPr>
          <w:rFonts w:ascii="Times New Roman" w:eastAsia="Calibri" w:hAnsi="Times New Roman" w:cs="Times New Roman"/>
        </w:rPr>
        <w:t xml:space="preserve"> jednej, kilku lub wszystkich części</w:t>
      </w:r>
      <w:r w:rsidRPr="00EB6AE3">
        <w:rPr>
          <w:rFonts w:ascii="Times New Roman" w:eastAsia="Calibri" w:hAnsi="Times New Roman" w:cs="Times New Roman"/>
        </w:rPr>
        <w:t>.</w:t>
      </w:r>
    </w:p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5D20B9" w:rsidRPr="005D20B9" w14:paraId="04293696" w14:textId="77777777" w:rsidTr="00A13ED9">
        <w:tc>
          <w:tcPr>
            <w:tcW w:w="9540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B55754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left="435" w:firstLine="3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2AC06029" w:rsidR="005D20B9" w:rsidRPr="00E35192" w:rsidRDefault="005D20B9" w:rsidP="0079545A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3F7D9E" w:rsidRPr="007A72DA">
        <w:rPr>
          <w:rFonts w:ascii="Times New Roman" w:eastAsia="Times New Roman" w:hAnsi="Times New Roman" w:cs="Times New Roman"/>
          <w:b/>
          <w:bCs/>
          <w:lang w:eastAsia="ar-SA"/>
        </w:rPr>
        <w:t>przez</w:t>
      </w:r>
      <w:r w:rsidR="00C64D32">
        <w:rPr>
          <w:rFonts w:ascii="Times New Roman" w:eastAsia="Times New Roman" w:hAnsi="Times New Roman" w:cs="Times New Roman"/>
          <w:b/>
          <w:bCs/>
          <w:lang w:eastAsia="ar-SA"/>
        </w:rPr>
        <w:t xml:space="preserve"> 24</w:t>
      </w:r>
      <w:r w:rsidR="005F731B" w:rsidRPr="007A72DA">
        <w:rPr>
          <w:rFonts w:ascii="Times New Roman" w:eastAsia="Times New Roman" w:hAnsi="Times New Roman" w:cs="Times New Roman"/>
          <w:b/>
          <w:bCs/>
          <w:lang w:eastAsia="ar-SA"/>
        </w:rPr>
        <w:t xml:space="preserve"> miesi</w:t>
      </w:r>
      <w:r w:rsidR="00EB6AE3" w:rsidRPr="007A72DA">
        <w:rPr>
          <w:rFonts w:ascii="Times New Roman" w:eastAsia="Times New Roman" w:hAnsi="Times New Roman" w:cs="Times New Roman"/>
          <w:b/>
          <w:bCs/>
          <w:lang w:eastAsia="ar-SA"/>
        </w:rPr>
        <w:t>ące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556C7AB9" w14:textId="114D87A5" w:rsidR="00F3593A" w:rsidRPr="007A72DA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656D3168" w14:textId="77777777" w:rsidR="007A72DA" w:rsidRPr="003D602F" w:rsidRDefault="007A72DA" w:rsidP="007A72D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A93C95" w14:paraId="57BD99C6" w14:textId="77777777" w:rsidTr="00A13ED9">
        <w:tc>
          <w:tcPr>
            <w:tcW w:w="9540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6861C6E6" w:rsidR="00A93C95" w:rsidRPr="00200853" w:rsidRDefault="00A93C95" w:rsidP="00B55754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95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PROJEKTOWANE POSTANOWIENIA UMOWY W SPRAWIE ZAMÓWIENIA </w:t>
            </w:r>
            <w:r w:rsidR="0020085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</w:t>
            </w:r>
            <w:r w:rsidRPr="0020085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2C0F9130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b/>
          <w:bCs/>
          <w:lang w:eastAsia="ar-SA"/>
        </w:rPr>
        <w:t xml:space="preserve">oraz 2.1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4951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5C4428" w:rsidRPr="00DB5909" w14:paraId="633C70A7" w14:textId="77777777" w:rsidTr="00200853">
        <w:tc>
          <w:tcPr>
            <w:tcW w:w="5000" w:type="pct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211C36B3" w:rsidR="005C4428" w:rsidRDefault="005C4428" w:rsidP="00B55754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8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Default="003D2248" w:rsidP="003D22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77777777" w:rsidR="005C4428" w:rsidRPr="00321D7F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56C0F89E" w14:textId="6659702C" w:rsidR="005C4428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</w:p>
    <w:p w14:paraId="103140C6" w14:textId="77777777" w:rsidR="003D602F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4951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2939FE" w:rsidRPr="00DB5909" w14:paraId="440FA5B2" w14:textId="77777777" w:rsidTr="00200853">
        <w:tc>
          <w:tcPr>
            <w:tcW w:w="5000" w:type="pct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7EB6898F" w:rsidR="002939FE" w:rsidRPr="002939FE" w:rsidRDefault="002939FE" w:rsidP="00B55754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8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PODSTAWY WYKLUCZENIA, O KTÓRYCH MOWA W ART. 108 UST. 1 UPZP –  </w:t>
            </w:r>
          </w:p>
          <w:p w14:paraId="65EAD7A1" w14:textId="77777777" w:rsidR="002939FE" w:rsidRDefault="002939FE" w:rsidP="00B55754">
            <w:pPr>
              <w:keepNext/>
              <w:keepLines/>
              <w:suppressAutoHyphens/>
              <w:autoSpaceDN w:val="0"/>
              <w:ind w:left="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3D2248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BD6595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lastRenderedPageBreak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1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 xml:space="preserve">mowa w art. 85 ust. 1 ustawy </w:t>
      </w:r>
      <w:proofErr w:type="spellStart"/>
      <w:r w:rsidR="000A70E0">
        <w:rPr>
          <w:rFonts w:ascii="Times New Roman" w:hAnsi="Times New Roman" w:cs="Times New Roman"/>
        </w:rPr>
        <w:t>Pzp</w:t>
      </w:r>
      <w:proofErr w:type="spellEnd"/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66A84F65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00C3C7B9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wykluczenia.</w:t>
      </w:r>
    </w:p>
    <w:p w14:paraId="71D1AC97" w14:textId="116EAA12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</w:t>
      </w:r>
      <w:r w:rsidR="00080BB9">
        <w:rPr>
          <w:rFonts w:ascii="Times New Roman" w:eastAsia="Calibri" w:hAnsi="Times New Roman" w:cs="Times New Roman"/>
          <w:color w:val="000000"/>
        </w:rPr>
        <w:t>3</w:t>
      </w:r>
      <w:r w:rsidRPr="003827C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</w:t>
      </w:r>
      <w:r w:rsidR="00080BB9">
        <w:rPr>
          <w:rFonts w:ascii="Times New Roman" w:eastAsia="Calibri" w:hAnsi="Times New Roman" w:cs="Times New Roman"/>
          <w:color w:val="000000"/>
        </w:rPr>
        <w:t>129 ze zm.</w:t>
      </w:r>
      <w:r w:rsidRPr="003827CE">
        <w:rPr>
          <w:rFonts w:ascii="Times New Roman" w:eastAsia="Calibri" w:hAnsi="Times New Roman" w:cs="Times New Roman"/>
          <w:color w:val="000000"/>
        </w:rPr>
        <w:t xml:space="preserve">) z postępowania o udzielenie zamówienia publicznego na podstawie ustawy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Zamawiający wyklucza:</w:t>
      </w:r>
    </w:p>
    <w:p w14:paraId="13D71964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 w:rsidRPr="003827CE">
        <w:rPr>
          <w:rFonts w:ascii="Times New Roman" w:eastAsia="Calibri" w:hAnsi="Times New Roman" w:cs="Times New Roman"/>
          <w:color w:val="000000"/>
        </w:rPr>
        <w:lastRenderedPageBreak/>
        <w:t>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5F1CF8D3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Wykluczenie, o którym mowa w niniejszym punkcie następować będzie na okres ww. okoliczności. W przypadku wykonawcy wykluczonego  na podstawie art. 7 ust 1 ustawy (Dz. U. 202</w:t>
      </w:r>
      <w:r w:rsidR="00080BB9">
        <w:rPr>
          <w:rFonts w:ascii="Times New Roman" w:eastAsia="Calibri" w:hAnsi="Times New Roman" w:cs="Times New Roman"/>
          <w:color w:val="000000"/>
        </w:rPr>
        <w:t>3</w:t>
      </w:r>
      <w:r w:rsidRPr="003827C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</w:t>
      </w:r>
      <w:r w:rsidR="00080BB9">
        <w:rPr>
          <w:rFonts w:ascii="Times New Roman" w:eastAsia="Calibri" w:hAnsi="Times New Roman" w:cs="Times New Roman"/>
          <w:color w:val="000000"/>
        </w:rPr>
        <w:t>129 ze zm.</w:t>
      </w:r>
      <w:r w:rsidRPr="003827CE">
        <w:rPr>
          <w:rFonts w:ascii="Times New Roman" w:eastAsia="Calibri" w:hAnsi="Times New Roman" w:cs="Times New Roman"/>
          <w:color w:val="000000"/>
        </w:rPr>
        <w:t>), Zamawiający odrzuca ofertę takiego Wykonawcy.</w:t>
      </w:r>
    </w:p>
    <w:p w14:paraId="2823171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1CFBB2B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Listy Ministra właściwego do spraw wewnętrznych obejmujących osoby i podmioty, wobec których są stosowane środki, o których mowa w art. 1 ustawy (Dz. U. 202</w:t>
      </w:r>
      <w:r w:rsidR="00D75673">
        <w:rPr>
          <w:rFonts w:ascii="Times New Roman" w:eastAsia="Calibri" w:hAnsi="Times New Roman" w:cs="Times New Roman"/>
          <w:color w:val="000000"/>
        </w:rPr>
        <w:t>3</w:t>
      </w:r>
      <w:r w:rsidRPr="003827CE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</w:t>
      </w:r>
      <w:r w:rsidR="00D75673">
        <w:rPr>
          <w:rFonts w:ascii="Times New Roman" w:eastAsia="Calibri" w:hAnsi="Times New Roman" w:cs="Times New Roman"/>
          <w:color w:val="000000"/>
        </w:rPr>
        <w:t>129 ze zm.</w:t>
      </w:r>
      <w:r w:rsidRPr="003827CE">
        <w:rPr>
          <w:rFonts w:ascii="Times New Roman" w:eastAsia="Calibri" w:hAnsi="Times New Roman" w:cs="Times New Roman"/>
          <w:color w:val="000000"/>
        </w:rPr>
        <w:t>)</w:t>
      </w:r>
    </w:p>
    <w:p w14:paraId="7788AF30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44206684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9540" w:type="dxa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D7497D" w:rsidRPr="00DB5909" w14:paraId="396EC7DA" w14:textId="77777777" w:rsidTr="007B1FDE">
        <w:tc>
          <w:tcPr>
            <w:tcW w:w="9540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7B1FDE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825" w:firstLine="5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7B1FDE">
            <w:pPr>
              <w:pStyle w:val="Akapitzlist"/>
              <w:keepNext/>
              <w:keepLines/>
              <w:suppressAutoHyphens/>
              <w:autoSpaceDN w:val="0"/>
              <w:ind w:left="825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1669DB" w:rsidRDefault="007244B3" w:rsidP="007244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540" w:type="dxa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11615D" w:rsidRPr="00DB5909" w14:paraId="1277899D" w14:textId="77777777" w:rsidTr="007B1FDE">
        <w:tc>
          <w:tcPr>
            <w:tcW w:w="9540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7B1FDE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825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3827CE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7830DB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ofert.</w:t>
      </w:r>
    </w:p>
    <w:p w14:paraId="37AB43D2" w14:textId="64E0520F" w:rsidR="00D21EDD" w:rsidRPr="00D21EDD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lastRenderedPageBreak/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</w:t>
      </w:r>
      <w:r w:rsidR="009E1FE2">
        <w:rPr>
          <w:rFonts w:ascii="Times New Roman" w:eastAsia="Calibri" w:hAnsi="Times New Roman" w:cs="Times New Roman"/>
          <w:bCs/>
          <w:lang w:eastAsia="zh-CN"/>
        </w:rPr>
        <w:t>4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9E1FE2">
        <w:rPr>
          <w:rFonts w:ascii="Times New Roman" w:eastAsia="Calibri" w:hAnsi="Times New Roman" w:cs="Times New Roman"/>
          <w:bCs/>
          <w:lang w:eastAsia="zh-CN"/>
        </w:rPr>
        <w:t>1616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70292E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 w:hanging="42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wykluczenia wskazanych w art. 109 ust. 1 pkt 4 </w:t>
      </w:r>
      <w:proofErr w:type="spellStart"/>
      <w:r w:rsidRPr="003B7D91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70292E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 w:hanging="42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70292E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567" w:right="-1" w:hanging="14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70292E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567" w:right="-1" w:hanging="14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70292E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567" w:right="-1" w:hanging="14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70292E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567" w:right="-1" w:hanging="14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4D98A49C" w:rsidR="00534CAB" w:rsidRPr="009E5725" w:rsidRDefault="00534CAB" w:rsidP="0070292E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567" w:right="-1" w:hanging="425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</w:t>
      </w:r>
      <w:r w:rsidR="00A57C46" w:rsidRPr="00D75673">
        <w:rPr>
          <w:rFonts w:ascii="Times New Roman" w:eastAsia="Calibri" w:hAnsi="Times New Roman" w:cs="Times New Roman"/>
          <w:b/>
          <w:lang w:eastAsia="zh-CN"/>
        </w:rPr>
        <w:t>Załącznik nr 5 do SWZ.</w:t>
      </w:r>
    </w:p>
    <w:p w14:paraId="0E322D06" w14:textId="77777777" w:rsidR="005E3A89" w:rsidRPr="00852A4A" w:rsidRDefault="005E3A89" w:rsidP="00D858C2">
      <w:pPr>
        <w:pStyle w:val="Akapitzlist"/>
        <w:numPr>
          <w:ilvl w:val="0"/>
          <w:numId w:val="57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 xml:space="preserve">e art. 125 ust. 1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>
        <w:rPr>
          <w:rFonts w:ascii="Times New Roman" w:eastAsia="Calibri" w:hAnsi="Times New Roman" w:cs="Times New Roman"/>
          <w:bCs/>
          <w:lang w:eastAsia="zh-CN"/>
        </w:rPr>
        <w:t xml:space="preserve">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D858C2">
      <w:pPr>
        <w:pStyle w:val="pkt"/>
        <w:numPr>
          <w:ilvl w:val="0"/>
          <w:numId w:val="57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3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D858C2">
      <w:pPr>
        <w:pStyle w:val="Akapitzlist"/>
        <w:keepLines/>
        <w:numPr>
          <w:ilvl w:val="0"/>
          <w:numId w:val="58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D858C2">
      <w:pPr>
        <w:pStyle w:val="Akapitzlist"/>
        <w:keepLines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BA76C5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4D7A65" w14:paraId="607B37BD" w14:textId="77777777" w:rsidTr="00454600">
        <w:tc>
          <w:tcPr>
            <w:tcW w:w="9540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7B1FDE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855"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C057032" w14:textId="0AF6B294" w:rsidR="00C97164" w:rsidRPr="004D7A65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AE248D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1F838031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7B6BED4E" w14:textId="77777777" w:rsidR="003F74FA" w:rsidRPr="003F74FA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4D7A65" w14:paraId="5D43FEAD" w14:textId="77777777" w:rsidTr="00454600">
        <w:tc>
          <w:tcPr>
            <w:tcW w:w="9540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7B1FDE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855"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2D9A607" w14:textId="4E15AEAC" w:rsidR="00C97164" w:rsidRPr="004D7A65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804DF4" w14:textId="2DDE7CCA" w:rsidR="002975C6" w:rsidRPr="00405D9F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</w:t>
      </w:r>
      <w:r w:rsidRPr="0018359A">
        <w:rPr>
          <w:rFonts w:ascii="Times New Roman" w:hAnsi="Times New Roman" w:cs="Times New Roman"/>
          <w:noProof/>
        </w:rPr>
        <w:t xml:space="preserve">Rozdziale XI </w:t>
      </w:r>
      <w:r w:rsidR="00565A59" w:rsidRPr="0018359A">
        <w:rPr>
          <w:rFonts w:ascii="Times New Roman" w:hAnsi="Times New Roman" w:cs="Times New Roman"/>
          <w:noProof/>
        </w:rPr>
        <w:t>ust. 3 pkt. 3</w:t>
      </w:r>
      <w:r w:rsidRPr="0018359A">
        <w:rPr>
          <w:rFonts w:ascii="Times New Roman" w:hAnsi="Times New Roman" w:cs="Times New Roman"/>
          <w:noProof/>
        </w:rPr>
        <w:t>)</w:t>
      </w:r>
      <w:r w:rsidRPr="006405A1">
        <w:rPr>
          <w:rFonts w:ascii="Times New Roman" w:hAnsi="Times New Roman" w:cs="Times New Roman"/>
          <w:noProof/>
        </w:rPr>
        <w:t xml:space="preserve">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3EF24419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</w:t>
      </w:r>
      <w:r w:rsidRPr="0018359A">
        <w:rPr>
          <w:rFonts w:ascii="Times New Roman" w:hAnsi="Times New Roman" w:cs="Times New Roman"/>
          <w:noProof/>
        </w:rPr>
        <w:t xml:space="preserve">Rozdziale XI </w:t>
      </w:r>
      <w:r w:rsidR="00565A59" w:rsidRPr="0018359A">
        <w:rPr>
          <w:rFonts w:ascii="Times New Roman" w:hAnsi="Times New Roman" w:cs="Times New Roman"/>
          <w:noProof/>
        </w:rPr>
        <w:t>ust. 3 pkt. 4</w:t>
      </w:r>
      <w:r w:rsidRPr="0018359A">
        <w:rPr>
          <w:rFonts w:ascii="Times New Roman" w:hAnsi="Times New Roman" w:cs="Times New Roman"/>
          <w:noProof/>
        </w:rPr>
        <w:t>)</w:t>
      </w:r>
      <w:r w:rsidRPr="006405A1">
        <w:rPr>
          <w:rFonts w:ascii="Times New Roman" w:hAnsi="Times New Roman" w:cs="Times New Roman"/>
          <w:noProof/>
        </w:rPr>
        <w:t xml:space="preserve">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6405A1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2E5A691" w14:textId="77777777" w:rsidR="00EB3F95" w:rsidRPr="00C97164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521" w:type="dxa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06B3C" w14:paraId="20953468" w14:textId="77777777" w:rsidTr="007B1FDE">
        <w:tc>
          <w:tcPr>
            <w:tcW w:w="9521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7B1FDE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95" w:firstLine="1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557943" w14:textId="77777777" w:rsidR="00D06B3C" w:rsidRPr="00D06B3C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9CBC03" w14:textId="1E36DB93" w:rsidR="001261AE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1EBC07F" w:rsidR="00F529F6" w:rsidRPr="0000231E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p w14:paraId="2C44C50B" w14:textId="77777777" w:rsidR="0000231E" w:rsidRPr="0000231E" w:rsidRDefault="0000231E" w:rsidP="000023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64C0BDC" w14:textId="77777777" w:rsidR="004D7A65" w:rsidRPr="00D06B3C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5A08A8" w14:paraId="49A3389B" w14:textId="77777777" w:rsidTr="00B61D95">
        <w:tc>
          <w:tcPr>
            <w:tcW w:w="9540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B61D95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95"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B61D95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9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9D7C699" w14:textId="77777777" w:rsidR="003D2248" w:rsidRPr="003D2248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3D2248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spełniają określone przez Z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amawiającego wymagania</w:t>
      </w:r>
      <w:r w:rsidR="004465DB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,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złożenia przez Wykonawcę wraz z ofertą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14:paraId="4AC76F91" w14:textId="77777777" w:rsidR="008F445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4465DB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="00FE4FA5" w:rsidRPr="004465DB">
        <w:rPr>
          <w:rFonts w:ascii="Times New Roman" w:eastAsia="Calibri" w:hAnsi="Times New Roman" w:cs="Times New Roman"/>
        </w:rPr>
        <w:t>do SWZ.</w:t>
      </w:r>
    </w:p>
    <w:p w14:paraId="59694715" w14:textId="0DD02714" w:rsidR="005A08A8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3E14CF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63B3706" w14:textId="77777777" w:rsidR="003E14CF" w:rsidRPr="007342AB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A93C95" w14:paraId="5FF8DD2C" w14:textId="77777777" w:rsidTr="00B61D95">
        <w:tc>
          <w:tcPr>
            <w:tcW w:w="9540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B61D95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95"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1C153A32" w:rsidR="00E7117F" w:rsidRPr="00E7117F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091DA5" w:rsidRPr="004524F6">
        <w:rPr>
          <w:rFonts w:ascii="Times New Roman" w:eastAsia="Calibri" w:hAnsi="Times New Roman" w:cs="Times New Roman"/>
        </w:rPr>
        <w:t xml:space="preserve">Anna </w:t>
      </w:r>
      <w:r w:rsidR="007960A6" w:rsidRPr="004524F6">
        <w:rPr>
          <w:rFonts w:ascii="Times New Roman" w:eastAsia="Calibri" w:hAnsi="Times New Roman" w:cs="Times New Roman"/>
        </w:rPr>
        <w:t>Henczel</w:t>
      </w:r>
      <w:r w:rsidR="00091DA5" w:rsidRPr="004524F6">
        <w:rPr>
          <w:rFonts w:ascii="Times New Roman" w:eastAsia="Calibri" w:hAnsi="Times New Roman" w:cs="Times New Roman"/>
        </w:rPr>
        <w:t>.</w:t>
      </w:r>
    </w:p>
    <w:p w14:paraId="546AECAE" w14:textId="043A7386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6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7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19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lastRenderedPageBreak/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B35E465" w14:textId="29827661" w:rsidR="00091DA5" w:rsidRDefault="00E7117F" w:rsidP="00A709B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  <w:bookmarkStart w:id="22" w:name="__RefHeading__76_381024118"/>
      <w:bookmarkEnd w:id="22"/>
    </w:p>
    <w:p w14:paraId="778C2A92" w14:textId="77777777" w:rsidR="00A709B5" w:rsidRPr="00A709B5" w:rsidRDefault="00A709B5" w:rsidP="00A7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40"/>
      </w:tblGrid>
      <w:tr w:rsidR="008C3C4F" w14:paraId="0DE6977B" w14:textId="77777777" w:rsidTr="00EE5E9B">
        <w:tc>
          <w:tcPr>
            <w:tcW w:w="9540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EE5E9B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95"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3F74F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D65A1CA" w14:textId="574A2ABC" w:rsidR="008C3C4F" w:rsidRPr="00A709B5" w:rsidRDefault="00D00A33" w:rsidP="00A709B5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5411F7" w:rsidRPr="005D20B9" w14:paraId="2F50C8A4" w14:textId="77777777" w:rsidTr="00EE5E9B">
        <w:trPr>
          <w:trHeight w:val="363"/>
        </w:trPr>
        <w:tc>
          <w:tcPr>
            <w:tcW w:w="9535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EE5E9B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left="78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4E40D496" w:rsidR="00DB5909" w:rsidRPr="00DB2398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AE24D0" w:rsidRPr="00D037ED">
        <w:rPr>
          <w:rFonts w:ascii="Times New Roman" w:eastAsia="Times New Roman" w:hAnsi="Times New Roman" w:cs="Times New Roman"/>
          <w:b/>
          <w:bCs/>
          <w:lang w:eastAsia="ar-SA"/>
        </w:rPr>
        <w:t>90 dni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2B1E81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2B1E8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2B1E81" w:rsidRPr="002B1E81">
        <w:rPr>
          <w:rFonts w:ascii="Times New Roman" w:eastAsia="Times New Roman" w:hAnsi="Times New Roman" w:cs="Times New Roman"/>
          <w:b/>
          <w:lang w:eastAsia="ar-SA"/>
        </w:rPr>
        <w:t>21.09.2025</w:t>
      </w:r>
      <w:r w:rsidRPr="002B1E81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2EC61EC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lang w:eastAsia="ar-SA"/>
        </w:rPr>
        <w:t>1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4951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DB5909" w:rsidRPr="00DB5909" w14:paraId="5C685F3E" w14:textId="77777777" w:rsidTr="00520458">
        <w:tc>
          <w:tcPr>
            <w:tcW w:w="5000" w:type="pct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873BB8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825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19F80536" w:rsid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ECB62B" w14:textId="77777777" w:rsidR="00EE58FD" w:rsidRDefault="00EE58FD" w:rsidP="00EE58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A58DB3A" w14:textId="6E09EA77" w:rsidR="004F720A" w:rsidRPr="00804C82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A3988FC" w:rsidR="000F2BE6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DF47B0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44B6D11" w14:textId="0F759CE4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o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 w:rsidR="000C7E20"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 w:rsidR="003036B0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38CFB18" w14:textId="2E10934C" w:rsidR="003036B0" w:rsidRDefault="003036B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wniesienia wadium.</w:t>
      </w:r>
    </w:p>
    <w:p w14:paraId="40963C72" w14:textId="425EE549" w:rsidR="00402DB2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32F0477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4951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7B73D5" w:rsidRPr="006E2479" w14:paraId="493AD0A0" w14:textId="77777777" w:rsidTr="000C24D7">
        <w:tc>
          <w:tcPr>
            <w:tcW w:w="5000" w:type="pct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706C49">
            <w:pPr>
              <w:pStyle w:val="Akapitzlist"/>
              <w:numPr>
                <w:ilvl w:val="0"/>
                <w:numId w:val="48"/>
              </w:numPr>
              <w:ind w:left="780" w:hanging="360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0103BA" w14:textId="6C36B5C4" w:rsidR="00196F01" w:rsidRPr="00A86A7C" w:rsidRDefault="003036B0" w:rsidP="00A86A7C">
      <w:pPr>
        <w:numPr>
          <w:ilvl w:val="0"/>
          <w:numId w:val="6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3036B0">
        <w:rPr>
          <w:rFonts w:ascii="Times New Roman" w:eastAsia="Calibri" w:hAnsi="Times New Roman" w:cs="Times New Roman"/>
          <w:lang w:eastAsia="ar-SA"/>
        </w:rPr>
        <w:t>Wykonawca zobowiązany jest wnieść wadium w kwocie</w:t>
      </w:r>
      <w:r w:rsidRPr="003036B0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="00DC4602">
        <w:rPr>
          <w:rFonts w:ascii="Times New Roman" w:eastAsia="Calibri" w:hAnsi="Times New Roman" w:cs="Times New Roman"/>
          <w:b/>
          <w:bCs/>
          <w:lang w:eastAsia="zh-CN"/>
        </w:rPr>
        <w:t>634 130</w:t>
      </w:r>
      <w:r w:rsidR="00F9495E" w:rsidRPr="00196F01">
        <w:rPr>
          <w:rFonts w:ascii="Times New Roman" w:eastAsia="Calibri" w:hAnsi="Times New Roman" w:cs="Times New Roman"/>
          <w:b/>
          <w:bCs/>
          <w:lang w:eastAsia="zh-CN"/>
        </w:rPr>
        <w:t>,00</w:t>
      </w:r>
      <w:r w:rsidRPr="00196F01">
        <w:rPr>
          <w:rFonts w:ascii="Times New Roman" w:eastAsia="Calibri" w:hAnsi="Times New Roman" w:cs="Times New Roman"/>
          <w:b/>
          <w:bCs/>
          <w:i/>
          <w:lang w:eastAsia="zh-CN"/>
        </w:rPr>
        <w:t xml:space="preserve"> </w:t>
      </w:r>
      <w:r w:rsidRPr="00196F01">
        <w:rPr>
          <w:rFonts w:ascii="Times New Roman" w:eastAsia="Calibri" w:hAnsi="Times New Roman" w:cs="Times New Roman"/>
          <w:b/>
          <w:bCs/>
          <w:lang w:eastAsia="pl-PL"/>
        </w:rPr>
        <w:t>zł</w:t>
      </w:r>
      <w:r w:rsidRPr="00196F01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A86A7C">
        <w:rPr>
          <w:rFonts w:ascii="Times New Roman" w:eastAsia="Calibri" w:hAnsi="Times New Roman" w:cs="Times New Roman"/>
          <w:b/>
          <w:lang w:eastAsia="ar-SA"/>
        </w:rPr>
        <w:t>(</w:t>
      </w:r>
      <w:r w:rsidRPr="00A86A7C">
        <w:rPr>
          <w:rFonts w:ascii="Times New Roman" w:eastAsia="Calibri" w:hAnsi="Times New Roman" w:cs="Times New Roman"/>
          <w:b/>
          <w:i/>
          <w:lang w:eastAsia="ar-SA"/>
        </w:rPr>
        <w:t xml:space="preserve">słownie: </w:t>
      </w:r>
      <w:r w:rsidR="00A86A7C" w:rsidRPr="00A86A7C">
        <w:rPr>
          <w:rFonts w:ascii="Times New Roman" w:eastAsia="Calibri" w:hAnsi="Times New Roman" w:cs="Times New Roman"/>
          <w:b/>
          <w:i/>
          <w:lang w:eastAsia="ar-SA"/>
        </w:rPr>
        <w:t xml:space="preserve">sześćset trzydzieści cztery tysiące sto trzydzieści złotych </w:t>
      </w:r>
      <w:r w:rsidRPr="00A86A7C">
        <w:rPr>
          <w:rFonts w:ascii="Times New Roman" w:eastAsia="Calibri" w:hAnsi="Times New Roman" w:cs="Times New Roman"/>
          <w:b/>
          <w:i/>
          <w:lang w:eastAsia="ar-SA"/>
        </w:rPr>
        <w:t>00/100)</w:t>
      </w:r>
      <w:r w:rsidR="00196F01" w:rsidRPr="00A86A7C">
        <w:rPr>
          <w:rFonts w:ascii="Times New Roman" w:eastAsia="Calibri" w:hAnsi="Times New Roman" w:cs="Times New Roman"/>
          <w:b/>
          <w:i/>
          <w:lang w:eastAsia="ar-SA"/>
        </w:rPr>
        <w:t xml:space="preserve"> w tym:</w:t>
      </w:r>
    </w:p>
    <w:tbl>
      <w:tblPr>
        <w:tblW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62"/>
      </w:tblGrid>
      <w:tr w:rsidR="00F51B88" w:rsidRPr="00F51B88" w14:paraId="00E4D93A" w14:textId="77777777" w:rsidTr="00F51B8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D8E4EC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32FFD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1 500,00 zł </w:t>
            </w:r>
          </w:p>
        </w:tc>
      </w:tr>
      <w:tr w:rsidR="00F51B88" w:rsidRPr="00F51B88" w14:paraId="0F81CF82" w14:textId="77777777" w:rsidTr="00F51B88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66E3127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09005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7 200,00 zł </w:t>
            </w:r>
          </w:p>
        </w:tc>
      </w:tr>
      <w:tr w:rsidR="00F51B88" w:rsidRPr="00F51B88" w14:paraId="18B0B51F" w14:textId="77777777" w:rsidTr="00F51B88">
        <w:trPr>
          <w:trHeight w:val="1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0270D8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ADF1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70 800,00 zł </w:t>
            </w:r>
          </w:p>
        </w:tc>
      </w:tr>
      <w:tr w:rsidR="00F51B88" w:rsidRPr="00F51B88" w14:paraId="74CA602D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E212414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E77C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2 800,00 zł </w:t>
            </w:r>
          </w:p>
        </w:tc>
      </w:tr>
      <w:tr w:rsidR="00F51B88" w:rsidRPr="00F51B88" w14:paraId="038365D0" w14:textId="77777777" w:rsidTr="00F51B88">
        <w:trPr>
          <w:trHeight w:val="2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2D8A047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97613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5 800,00 zł </w:t>
            </w:r>
          </w:p>
        </w:tc>
      </w:tr>
      <w:tr w:rsidR="00F51B88" w:rsidRPr="00F51B88" w14:paraId="039DFB21" w14:textId="77777777" w:rsidTr="00F51B88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E584CC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74B5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4 400,00 zł </w:t>
            </w:r>
          </w:p>
        </w:tc>
      </w:tr>
      <w:tr w:rsidR="00F51B88" w:rsidRPr="00F51B88" w14:paraId="068A724D" w14:textId="77777777" w:rsidTr="00F51B88">
        <w:trPr>
          <w:trHeight w:val="2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EB7DD61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BB83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8 700,00 zł </w:t>
            </w:r>
          </w:p>
        </w:tc>
      </w:tr>
      <w:tr w:rsidR="00F51B88" w:rsidRPr="00F51B88" w14:paraId="54FE250A" w14:textId="77777777" w:rsidTr="00F51B88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84FA20F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C1C2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12 100,00 zł </w:t>
            </w:r>
          </w:p>
        </w:tc>
      </w:tr>
      <w:tr w:rsidR="00F51B88" w:rsidRPr="00F51B88" w14:paraId="22C00719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DFCA53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95E4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1 100,00 zł </w:t>
            </w:r>
          </w:p>
        </w:tc>
      </w:tr>
      <w:tr w:rsidR="00F51B88" w:rsidRPr="00F51B88" w14:paraId="6FACBD35" w14:textId="77777777" w:rsidTr="00F51B8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BDD178F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D9BBF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7 900,00 zł </w:t>
            </w:r>
          </w:p>
        </w:tc>
      </w:tr>
      <w:tr w:rsidR="00F51B88" w:rsidRPr="00F51B88" w14:paraId="5BF946CC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E39DC1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C68F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19 900,00 zł </w:t>
            </w:r>
          </w:p>
        </w:tc>
      </w:tr>
      <w:tr w:rsidR="00F51B88" w:rsidRPr="00F51B88" w14:paraId="0E3A3694" w14:textId="77777777" w:rsidTr="00F51B88">
        <w:trPr>
          <w:trHeight w:val="3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51DDAB4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CFA7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4 500,00 zł </w:t>
            </w:r>
          </w:p>
        </w:tc>
      </w:tr>
      <w:tr w:rsidR="00F51B88" w:rsidRPr="00F51B88" w14:paraId="3035CC09" w14:textId="77777777" w:rsidTr="00F51B88">
        <w:trPr>
          <w:trHeight w:val="2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A4C775F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6CC7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4 300,00 zł </w:t>
            </w:r>
          </w:p>
        </w:tc>
      </w:tr>
      <w:tr w:rsidR="00F51B88" w:rsidRPr="00F51B88" w14:paraId="7BD1D839" w14:textId="77777777" w:rsidTr="00F51B88">
        <w:trPr>
          <w:trHeight w:val="2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AE14286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CC92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20 100,00 zł </w:t>
            </w:r>
          </w:p>
        </w:tc>
      </w:tr>
      <w:tr w:rsidR="00F51B88" w:rsidRPr="00F51B88" w14:paraId="13F6D9A6" w14:textId="77777777" w:rsidTr="00F51B88">
        <w:trPr>
          <w:trHeight w:val="2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610515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D290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6 300,00 zł </w:t>
            </w:r>
          </w:p>
        </w:tc>
      </w:tr>
      <w:tr w:rsidR="00F51B88" w:rsidRPr="00F51B88" w14:paraId="34CF2AC8" w14:textId="77777777" w:rsidTr="00F51B88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008682F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935C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3 400,00 zł </w:t>
            </w:r>
          </w:p>
        </w:tc>
      </w:tr>
      <w:tr w:rsidR="00F51B88" w:rsidRPr="00F51B88" w14:paraId="34E50703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AA91386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BF7E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24 700,00 zł </w:t>
            </w:r>
          </w:p>
        </w:tc>
      </w:tr>
      <w:tr w:rsidR="00F51B88" w:rsidRPr="00F51B88" w14:paraId="6711CCCB" w14:textId="77777777" w:rsidTr="00F51B88">
        <w:trPr>
          <w:trHeight w:val="1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14AC772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3396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6 500,00 zł </w:t>
            </w:r>
          </w:p>
        </w:tc>
      </w:tr>
      <w:tr w:rsidR="00F51B88" w:rsidRPr="00F51B88" w14:paraId="101B24ED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0EA76A4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44D3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1 900,00 zł </w:t>
            </w:r>
          </w:p>
        </w:tc>
      </w:tr>
      <w:tr w:rsidR="00F51B88" w:rsidRPr="00F51B88" w14:paraId="2835E595" w14:textId="77777777" w:rsidTr="00F51B88">
        <w:trPr>
          <w:trHeight w:val="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C645C81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BAD9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31 700,00 zł </w:t>
            </w:r>
          </w:p>
        </w:tc>
      </w:tr>
      <w:tr w:rsidR="00F51B88" w:rsidRPr="00F51B88" w14:paraId="48E6F0F3" w14:textId="77777777" w:rsidTr="00F51B88">
        <w:trPr>
          <w:trHeight w:val="2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6B55B4C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C481A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8 900,00 zł </w:t>
            </w:r>
          </w:p>
        </w:tc>
      </w:tr>
      <w:tr w:rsidR="00F51B88" w:rsidRPr="00F51B88" w14:paraId="5E00322E" w14:textId="77777777" w:rsidTr="00F51B88">
        <w:trPr>
          <w:trHeight w:val="1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EB67C82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36617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14 800,00 zł </w:t>
            </w:r>
          </w:p>
        </w:tc>
      </w:tr>
      <w:tr w:rsidR="00F51B88" w:rsidRPr="00F51B88" w14:paraId="40ACC24D" w14:textId="77777777" w:rsidTr="00F51B88">
        <w:trPr>
          <w:trHeight w:val="14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89206E5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6685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11 200,00 zł </w:t>
            </w:r>
          </w:p>
        </w:tc>
      </w:tr>
      <w:tr w:rsidR="00F51B88" w:rsidRPr="00F51B88" w14:paraId="19D5A4A7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EA6D07A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9D42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56 700,00 zł </w:t>
            </w:r>
          </w:p>
        </w:tc>
      </w:tr>
      <w:tr w:rsidR="00F51B88" w:rsidRPr="00F51B88" w14:paraId="25018939" w14:textId="77777777" w:rsidTr="00F51B88">
        <w:trPr>
          <w:trHeight w:val="19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1A4C92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855D4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8 300,00 zł </w:t>
            </w:r>
          </w:p>
        </w:tc>
      </w:tr>
      <w:tr w:rsidR="00F51B88" w:rsidRPr="00F51B88" w14:paraId="7CDBFC38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6FA1611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D5329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21 600,00 zł </w:t>
            </w:r>
          </w:p>
        </w:tc>
      </w:tr>
      <w:tr w:rsidR="00F51B88" w:rsidRPr="00F51B88" w14:paraId="0E38A01C" w14:textId="77777777" w:rsidTr="00F51B88">
        <w:trPr>
          <w:trHeight w:val="10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E67F69F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E923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9 100,00 zł </w:t>
            </w:r>
          </w:p>
        </w:tc>
      </w:tr>
      <w:tr w:rsidR="00F51B88" w:rsidRPr="00F51B88" w14:paraId="4542BFB0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D631516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A856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7 700,00 zł </w:t>
            </w:r>
          </w:p>
        </w:tc>
      </w:tr>
      <w:tr w:rsidR="00F51B88" w:rsidRPr="00F51B88" w14:paraId="594BEE69" w14:textId="77777777" w:rsidTr="00F51B88">
        <w:trPr>
          <w:trHeight w:val="2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CC0919D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F033B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2 200,00 zł </w:t>
            </w:r>
          </w:p>
        </w:tc>
      </w:tr>
      <w:tr w:rsidR="00F51B88" w:rsidRPr="00F51B88" w14:paraId="318C4C2D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1061546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042E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6 700,00 zł </w:t>
            </w:r>
          </w:p>
        </w:tc>
      </w:tr>
      <w:tr w:rsidR="00F51B88" w:rsidRPr="00F51B88" w14:paraId="71D8EF97" w14:textId="77777777" w:rsidTr="00F51B88">
        <w:trPr>
          <w:trHeight w:val="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E5330BD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1AD10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1 200,00 zł </w:t>
            </w:r>
          </w:p>
        </w:tc>
      </w:tr>
      <w:tr w:rsidR="00F51B88" w:rsidRPr="00F51B88" w14:paraId="40FC3F7D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A6C5736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8710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3 400,00 zł </w:t>
            </w:r>
          </w:p>
        </w:tc>
      </w:tr>
      <w:tr w:rsidR="00F51B88" w:rsidRPr="00F51B88" w14:paraId="25A77AA7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81C6D9C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D349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200,00 zł </w:t>
            </w:r>
          </w:p>
        </w:tc>
      </w:tr>
      <w:tr w:rsidR="00F51B88" w:rsidRPr="00F51B88" w14:paraId="3ACD2B8A" w14:textId="77777777" w:rsidTr="00F51B88">
        <w:trPr>
          <w:trHeight w:val="3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519180F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CC48D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5 400,00 zł </w:t>
            </w:r>
          </w:p>
        </w:tc>
      </w:tr>
      <w:tr w:rsidR="00F51B88" w:rsidRPr="00F51B88" w14:paraId="3820ED89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0C308F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FDF94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3 800,00 zł </w:t>
            </w:r>
          </w:p>
        </w:tc>
      </w:tr>
      <w:tr w:rsidR="00F51B88" w:rsidRPr="00F51B88" w14:paraId="4132F9F4" w14:textId="77777777" w:rsidTr="00F51B8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456028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D200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19 400,00 zł </w:t>
            </w:r>
          </w:p>
        </w:tc>
      </w:tr>
      <w:tr w:rsidR="00F51B88" w:rsidRPr="00F51B88" w14:paraId="7ABEC573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BABE912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32CD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16 800,00 zł </w:t>
            </w:r>
          </w:p>
        </w:tc>
      </w:tr>
      <w:tr w:rsidR="00F51B88" w:rsidRPr="00F51B88" w14:paraId="359CEBAA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A9CB09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ECE4B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1 100,00 zł </w:t>
            </w:r>
          </w:p>
        </w:tc>
      </w:tr>
      <w:tr w:rsidR="00F51B88" w:rsidRPr="00F51B88" w14:paraId="2DEF192E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009991F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1539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1 000,00 zł </w:t>
            </w:r>
          </w:p>
        </w:tc>
      </w:tr>
      <w:tr w:rsidR="00F51B88" w:rsidRPr="00F51B88" w14:paraId="68F23659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8A5BBB9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8306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500,00 zł </w:t>
            </w:r>
          </w:p>
        </w:tc>
      </w:tr>
      <w:tr w:rsidR="00F51B88" w:rsidRPr="00F51B88" w14:paraId="0E0B3E4C" w14:textId="77777777" w:rsidTr="00F51B88">
        <w:trPr>
          <w:trHeight w:val="22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1BE4E0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3878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55 300,00 zł </w:t>
            </w:r>
          </w:p>
        </w:tc>
      </w:tr>
      <w:tr w:rsidR="00F51B88" w:rsidRPr="00F51B88" w14:paraId="64735463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0618FE5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A3D6E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6 100,00 zł </w:t>
            </w:r>
          </w:p>
        </w:tc>
      </w:tr>
      <w:tr w:rsidR="00F51B88" w:rsidRPr="00F51B88" w14:paraId="5BBC8AD6" w14:textId="77777777" w:rsidTr="00F51B88">
        <w:trPr>
          <w:trHeight w:val="2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795958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56B7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9 700,00 zł </w:t>
            </w:r>
          </w:p>
        </w:tc>
      </w:tr>
      <w:tr w:rsidR="00F51B88" w:rsidRPr="00F51B88" w14:paraId="6EC122D7" w14:textId="77777777" w:rsidTr="00F51B88">
        <w:trPr>
          <w:trHeight w:val="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B272435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F7BE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6 300,00 zł </w:t>
            </w:r>
          </w:p>
        </w:tc>
      </w:tr>
      <w:tr w:rsidR="00F51B88" w:rsidRPr="00F51B88" w14:paraId="376BA170" w14:textId="77777777" w:rsidTr="00F51B88">
        <w:trPr>
          <w:trHeight w:val="26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6284C0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69EE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31 200,00 zł </w:t>
            </w:r>
          </w:p>
        </w:tc>
      </w:tr>
      <w:tr w:rsidR="00F51B88" w:rsidRPr="00F51B88" w14:paraId="1226C940" w14:textId="77777777" w:rsidTr="00F51B88">
        <w:trPr>
          <w:trHeight w:val="1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1D053A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5D1B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5 700,00 zł </w:t>
            </w:r>
          </w:p>
        </w:tc>
      </w:tr>
      <w:tr w:rsidR="00F51B88" w:rsidRPr="00F51B88" w14:paraId="139260C2" w14:textId="77777777" w:rsidTr="00F51B88">
        <w:trPr>
          <w:trHeight w:val="17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5035A36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D224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900,00 zł </w:t>
            </w:r>
          </w:p>
        </w:tc>
      </w:tr>
      <w:tr w:rsidR="00F51B88" w:rsidRPr="00F51B88" w14:paraId="28EA9395" w14:textId="77777777" w:rsidTr="00F51B88">
        <w:trPr>
          <w:trHeight w:val="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196B65C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ED6FE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10 400,00 zł </w:t>
            </w:r>
          </w:p>
        </w:tc>
      </w:tr>
      <w:tr w:rsidR="00F51B88" w:rsidRPr="00F51B88" w14:paraId="5A52549B" w14:textId="77777777" w:rsidTr="00F51B88">
        <w:trPr>
          <w:trHeight w:val="2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2C95A4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59E9A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8 700,00 zł </w:t>
            </w:r>
          </w:p>
        </w:tc>
      </w:tr>
      <w:tr w:rsidR="00F51B88" w:rsidRPr="00F51B88" w14:paraId="0A3058C3" w14:textId="77777777" w:rsidTr="00F51B88">
        <w:trPr>
          <w:trHeight w:val="2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84B645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1477D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13 500,00 zł </w:t>
            </w:r>
          </w:p>
        </w:tc>
      </w:tr>
      <w:tr w:rsidR="00F51B88" w:rsidRPr="00F51B88" w14:paraId="5F41C8A6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C9D5DA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E0210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4 800,00 zł </w:t>
            </w:r>
          </w:p>
        </w:tc>
      </w:tr>
      <w:tr w:rsidR="00F51B88" w:rsidRPr="00F51B88" w14:paraId="6931AF53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9BB61EA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85781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1 600,00 zł </w:t>
            </w:r>
          </w:p>
        </w:tc>
      </w:tr>
      <w:tr w:rsidR="00F51B88" w:rsidRPr="00F51B88" w14:paraId="702884BD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21FFD96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35B1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3 700,00 zł </w:t>
            </w:r>
          </w:p>
        </w:tc>
      </w:tr>
      <w:tr w:rsidR="00F51B88" w:rsidRPr="00F51B88" w14:paraId="6390A453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D7944C3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E1A8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3 600,00 zł </w:t>
            </w:r>
          </w:p>
        </w:tc>
      </w:tr>
      <w:tr w:rsidR="00F51B88" w:rsidRPr="00F51B88" w14:paraId="59546197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EFCEA21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ED600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630,00 zł </w:t>
            </w:r>
          </w:p>
        </w:tc>
      </w:tr>
      <w:tr w:rsidR="00F51B88" w:rsidRPr="00F51B88" w14:paraId="11D65800" w14:textId="77777777" w:rsidTr="00F51B88">
        <w:trPr>
          <w:trHeight w:val="22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530C26A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F06D9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4 200,00 zł </w:t>
            </w:r>
          </w:p>
        </w:tc>
      </w:tr>
      <w:tr w:rsidR="00F51B88" w:rsidRPr="00F51B88" w14:paraId="40781C6A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6FAAF12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32C9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1 100,00 zł </w:t>
            </w:r>
          </w:p>
        </w:tc>
      </w:tr>
      <w:tr w:rsidR="00F51B88" w:rsidRPr="00F51B88" w14:paraId="6372D875" w14:textId="77777777" w:rsidTr="00F51B8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E6EEB7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C502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1 200,00 zł </w:t>
            </w:r>
          </w:p>
        </w:tc>
      </w:tr>
      <w:tr w:rsidR="00F51B88" w:rsidRPr="00F51B88" w14:paraId="2734A273" w14:textId="77777777" w:rsidTr="00F51B88">
        <w:trPr>
          <w:trHeight w:val="16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6EE93" w14:textId="77777777" w:rsidR="00F51B88" w:rsidRPr="00F51B88" w:rsidRDefault="00F51B88" w:rsidP="00F5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B50BA" w14:textId="77777777" w:rsidR="00F51B88" w:rsidRPr="00F51B88" w:rsidRDefault="00F51B88" w:rsidP="00F5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1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19 900,00 zł </w:t>
            </w:r>
          </w:p>
        </w:tc>
      </w:tr>
    </w:tbl>
    <w:p w14:paraId="0ED443EB" w14:textId="77777777" w:rsidR="00AF013D" w:rsidRPr="00196F01" w:rsidRDefault="00AF013D" w:rsidP="00AF013D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14:paraId="2B5996A6" w14:textId="53564656" w:rsidR="003036B0" w:rsidRPr="00A709B5" w:rsidRDefault="003036B0" w:rsidP="00A709B5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3036B0">
        <w:rPr>
          <w:rFonts w:ascii="Times New Roman" w:eastAsia="Calibri" w:hAnsi="Times New Roman" w:cs="Times New Roman"/>
          <w:lang w:eastAsia="ar-SA"/>
        </w:rPr>
        <w:t xml:space="preserve"> </w:t>
      </w:r>
    </w:p>
    <w:p w14:paraId="727C7384" w14:textId="77777777" w:rsidR="003036B0" w:rsidRPr="003036B0" w:rsidRDefault="003036B0" w:rsidP="00D858C2">
      <w:pPr>
        <w:numPr>
          <w:ilvl w:val="3"/>
          <w:numId w:val="6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3036B0">
        <w:rPr>
          <w:rFonts w:ascii="Times New Roman" w:eastAsia="Calibri" w:hAnsi="Times New Roman" w:cs="Times New Roman"/>
          <w:b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2B689441" w14:textId="77777777" w:rsidR="003036B0" w:rsidRPr="003036B0" w:rsidRDefault="003036B0" w:rsidP="00D858C2">
      <w:pPr>
        <w:numPr>
          <w:ilvl w:val="3"/>
          <w:numId w:val="6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>Wadium może być wnoszone w jednej lub kilku następujących formach:</w:t>
      </w:r>
    </w:p>
    <w:p w14:paraId="660C3A7B" w14:textId="77777777" w:rsidR="003036B0" w:rsidRPr="003036B0" w:rsidRDefault="003036B0" w:rsidP="00D858C2">
      <w:pPr>
        <w:numPr>
          <w:ilvl w:val="1"/>
          <w:numId w:val="63"/>
        </w:numPr>
        <w:suppressAutoHyphens/>
        <w:spacing w:after="0" w:line="240" w:lineRule="auto"/>
        <w:ind w:left="709" w:hanging="409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 xml:space="preserve">pieniądzu; </w:t>
      </w:r>
    </w:p>
    <w:p w14:paraId="7E2C7BB6" w14:textId="77777777" w:rsidR="003036B0" w:rsidRPr="003036B0" w:rsidRDefault="003036B0" w:rsidP="00D858C2">
      <w:pPr>
        <w:numPr>
          <w:ilvl w:val="1"/>
          <w:numId w:val="63"/>
        </w:numPr>
        <w:suppressAutoHyphens/>
        <w:spacing w:after="0" w:line="240" w:lineRule="auto"/>
        <w:ind w:left="709" w:hanging="409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>gwarancjach bankowych;</w:t>
      </w:r>
    </w:p>
    <w:p w14:paraId="0B92FF10" w14:textId="77777777" w:rsidR="003036B0" w:rsidRPr="003036B0" w:rsidRDefault="003036B0" w:rsidP="00D858C2">
      <w:pPr>
        <w:numPr>
          <w:ilvl w:val="1"/>
          <w:numId w:val="63"/>
        </w:numPr>
        <w:suppressAutoHyphens/>
        <w:spacing w:after="0" w:line="240" w:lineRule="auto"/>
        <w:ind w:left="709" w:hanging="409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>gwarancjach ubezpieczeniowych;</w:t>
      </w:r>
    </w:p>
    <w:p w14:paraId="214FCBBA" w14:textId="77777777" w:rsidR="003036B0" w:rsidRPr="003036B0" w:rsidRDefault="003036B0" w:rsidP="00D858C2">
      <w:pPr>
        <w:numPr>
          <w:ilvl w:val="1"/>
          <w:numId w:val="63"/>
        </w:numPr>
        <w:suppressAutoHyphens/>
        <w:spacing w:after="0" w:line="240" w:lineRule="auto"/>
        <w:ind w:left="709" w:hanging="409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>poręczeniach udzielanych przez podmioty, o których mowa w art. 6b ust. 5 pkt 2 ustawy z dnia 9 listopada 2000 r. o utworzeniu Polskiej Agencji Rozwoju Przedsiębiorczości (Dz. U. z 2025 r. poz. 98).</w:t>
      </w:r>
    </w:p>
    <w:p w14:paraId="0D4759EB" w14:textId="2B4D021C" w:rsidR="003036B0" w:rsidRPr="003036B0" w:rsidRDefault="003036B0" w:rsidP="00D858C2">
      <w:pPr>
        <w:numPr>
          <w:ilvl w:val="0"/>
          <w:numId w:val="64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3036B0">
        <w:rPr>
          <w:rFonts w:ascii="Times New Roman" w:eastAsia="Calibri" w:hAnsi="Times New Roman" w:cs="Times New Roman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Pr="003036B0">
        <w:rPr>
          <w:rFonts w:ascii="Times New Roman" w:eastAsia="Calibri" w:hAnsi="Times New Roman" w:cs="Times New Roman"/>
          <w:b/>
          <w:bCs/>
          <w:u w:val="single"/>
          <w:lang w:eastAsia="ar-SA"/>
        </w:rPr>
        <w:t>Szp-241/FZ-0</w:t>
      </w:r>
      <w:r w:rsidR="00CA451C">
        <w:rPr>
          <w:rFonts w:ascii="Times New Roman" w:eastAsia="Calibri" w:hAnsi="Times New Roman" w:cs="Times New Roman"/>
          <w:b/>
          <w:bCs/>
          <w:u w:val="single"/>
          <w:lang w:eastAsia="ar-SA"/>
        </w:rPr>
        <w:t>34</w:t>
      </w:r>
      <w:r w:rsidRPr="003036B0">
        <w:rPr>
          <w:rFonts w:ascii="Times New Roman" w:eastAsia="Calibri" w:hAnsi="Times New Roman" w:cs="Times New Roman"/>
          <w:b/>
          <w:bCs/>
          <w:u w:val="single"/>
          <w:lang w:eastAsia="ar-SA"/>
        </w:rPr>
        <w:t>/2025</w:t>
      </w:r>
      <w:r w:rsidRPr="003036B0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</w:p>
    <w:p w14:paraId="05513A75" w14:textId="77777777" w:rsidR="003036B0" w:rsidRPr="003036B0" w:rsidRDefault="003036B0" w:rsidP="003036B0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3036B0">
        <w:rPr>
          <w:rFonts w:ascii="Times New Roman" w:eastAsia="Calibri" w:hAnsi="Times New Roman" w:cs="Times New Roman"/>
          <w:b/>
          <w:lang w:eastAsia="zh-CN"/>
        </w:rPr>
        <w:t xml:space="preserve">UWAGA: </w:t>
      </w:r>
      <w:r w:rsidRPr="003036B0">
        <w:rPr>
          <w:rFonts w:ascii="Times New Roman" w:eastAsia="Calibri" w:hAnsi="Times New Roman" w:cs="Times New Roman"/>
          <w:b/>
          <w:u w:val="single"/>
          <w:lang w:eastAsia="zh-CN"/>
        </w:rPr>
        <w:t>Za termin wniesienia wadium w formie pieniężnej zostanie przyjęty termin uznania rachunku Zamawiającego.</w:t>
      </w:r>
    </w:p>
    <w:p w14:paraId="183C42D1" w14:textId="77777777" w:rsidR="003036B0" w:rsidRPr="003036B0" w:rsidRDefault="003036B0" w:rsidP="00D858C2">
      <w:pPr>
        <w:numPr>
          <w:ilvl w:val="3"/>
          <w:numId w:val="6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5ADC1B20" w14:textId="77777777" w:rsidR="003036B0" w:rsidRPr="003036B0" w:rsidRDefault="003036B0" w:rsidP="00D858C2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 xml:space="preserve">Wadium wnoszone w formie poręczeń lub gwarancji muszą być złożone jako </w:t>
      </w:r>
      <w:r w:rsidRPr="003036B0">
        <w:rPr>
          <w:rFonts w:ascii="Times New Roman" w:eastAsia="Calibri" w:hAnsi="Times New Roman" w:cs="Times New Roman"/>
          <w:b/>
          <w:lang w:eastAsia="zh-CN"/>
        </w:rPr>
        <w:t xml:space="preserve">oryginał </w:t>
      </w:r>
      <w:r w:rsidRPr="003036B0">
        <w:rPr>
          <w:rFonts w:ascii="Times New Roman" w:eastAsia="Calibri" w:hAnsi="Times New Roman" w:cs="Times New Roman"/>
          <w:lang w:eastAsia="zh-CN"/>
        </w:rPr>
        <w:t xml:space="preserve">gwarancji lub poręczenia </w:t>
      </w:r>
      <w:r w:rsidRPr="003036B0">
        <w:rPr>
          <w:rFonts w:ascii="Times New Roman" w:eastAsia="Calibri" w:hAnsi="Times New Roman" w:cs="Times New Roman"/>
          <w:b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3036B0">
        <w:rPr>
          <w:rFonts w:ascii="Times New Roman" w:eastAsia="Calibri" w:hAnsi="Times New Roman" w:cs="Times New Roman"/>
          <w:lang w:eastAsia="zh-CN"/>
        </w:rPr>
        <w:t>i spełniać co najmniej poniższe wymagania:</w:t>
      </w:r>
    </w:p>
    <w:p w14:paraId="4909743D" w14:textId="77777777" w:rsidR="003036B0" w:rsidRPr="003036B0" w:rsidRDefault="003036B0" w:rsidP="00D858C2">
      <w:pPr>
        <w:numPr>
          <w:ilvl w:val="0"/>
          <w:numId w:val="66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 xml:space="preserve">musi obejmować odpowiedzialność za wszystkie przypadki powodujące utratę wadium przez Wykonawcę określone w ustawie PZP </w:t>
      </w:r>
    </w:p>
    <w:p w14:paraId="0ABD2B4B" w14:textId="77777777" w:rsidR="003036B0" w:rsidRPr="003036B0" w:rsidRDefault="003036B0" w:rsidP="00D858C2">
      <w:pPr>
        <w:numPr>
          <w:ilvl w:val="0"/>
          <w:numId w:val="66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>z jej treści powinno jednoznacznie wynikać zobowiązanie gwaranta do zapłaty całej kwoty wadium;</w:t>
      </w:r>
    </w:p>
    <w:p w14:paraId="16329BA3" w14:textId="77777777" w:rsidR="003036B0" w:rsidRPr="003036B0" w:rsidRDefault="003036B0" w:rsidP="00D858C2">
      <w:pPr>
        <w:numPr>
          <w:ilvl w:val="0"/>
          <w:numId w:val="66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>powinno być nieodwołalne i bezwarunkowe oraz płatne na pierwsze żądanie;</w:t>
      </w:r>
    </w:p>
    <w:p w14:paraId="2E898951" w14:textId="77777777" w:rsidR="003036B0" w:rsidRPr="003036B0" w:rsidRDefault="003036B0" w:rsidP="00D858C2">
      <w:pPr>
        <w:numPr>
          <w:ilvl w:val="0"/>
          <w:numId w:val="66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lastRenderedPageBreak/>
        <w:t xml:space="preserve">termin obowiązywania poręczenia lub gwarancji nie może być krótszy niż termin związania ofertą (z zastrzeżeniem iż pierwszym dniem związania ofertą jest dzień składania ofert); </w:t>
      </w:r>
    </w:p>
    <w:p w14:paraId="6D65BEBE" w14:textId="77777777" w:rsidR="003036B0" w:rsidRPr="003036B0" w:rsidRDefault="003036B0" w:rsidP="00D858C2">
      <w:pPr>
        <w:numPr>
          <w:ilvl w:val="0"/>
          <w:numId w:val="66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>w treści poręczenia lub gwarancji powinna znaleźć się nazwa oraz numer przedmiotowego postępowania;</w:t>
      </w:r>
    </w:p>
    <w:p w14:paraId="73536273" w14:textId="77777777" w:rsidR="003036B0" w:rsidRPr="003036B0" w:rsidRDefault="003036B0" w:rsidP="00D858C2">
      <w:pPr>
        <w:numPr>
          <w:ilvl w:val="0"/>
          <w:numId w:val="66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>beneficjentem poręczenia lub gwarancji jest Wojewódzki Szpital Specjalistyczny we Wrocławiu</w:t>
      </w:r>
    </w:p>
    <w:p w14:paraId="60F4D77A" w14:textId="77777777" w:rsidR="003036B0" w:rsidRPr="003036B0" w:rsidRDefault="003036B0" w:rsidP="00D858C2">
      <w:pPr>
        <w:numPr>
          <w:ilvl w:val="0"/>
          <w:numId w:val="66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 xml:space="preserve">w przypadku Wykonawców wspólnie ubiegających się o udzielenie zamówienia (art. 58 </w:t>
      </w:r>
      <w:proofErr w:type="spellStart"/>
      <w:r w:rsidRPr="003036B0">
        <w:rPr>
          <w:rFonts w:ascii="Times New Roman" w:eastAsia="Calibri" w:hAnsi="Times New Roman" w:cs="Times New Roman"/>
          <w:lang w:eastAsia="zh-CN"/>
        </w:rPr>
        <w:t>uPzp</w:t>
      </w:r>
      <w:proofErr w:type="spellEnd"/>
      <w:r w:rsidRPr="003036B0">
        <w:rPr>
          <w:rFonts w:ascii="Times New Roman" w:eastAsia="Calibri" w:hAnsi="Times New Roman" w:cs="Times New Roman"/>
          <w:lang w:eastAsia="zh-C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2BFB4D58" w14:textId="77777777" w:rsidR="003036B0" w:rsidRPr="003036B0" w:rsidRDefault="003036B0" w:rsidP="00D858C2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 xml:space="preserve">Oferta wykonawcy, który nie wniesie wadium, wniesie wadium w sposób nieprawidłowy lub nie utrzyma wadium nieprzerwanie do upływu terminu związania ofertą lub złożył wniosek o zwrot wadium w przypadku, o którym mowa w art. 98 ust. 2 pkt 3 </w:t>
      </w:r>
      <w:proofErr w:type="spellStart"/>
      <w:r w:rsidRPr="003036B0">
        <w:rPr>
          <w:rFonts w:ascii="Times New Roman" w:eastAsia="Calibri" w:hAnsi="Times New Roman" w:cs="Times New Roman"/>
          <w:lang w:eastAsia="zh-CN"/>
        </w:rPr>
        <w:t>uPzp</w:t>
      </w:r>
      <w:proofErr w:type="spellEnd"/>
      <w:r w:rsidRPr="003036B0">
        <w:rPr>
          <w:rFonts w:ascii="Times New Roman" w:eastAsia="Calibri" w:hAnsi="Times New Roman" w:cs="Times New Roman"/>
          <w:b/>
          <w:lang w:eastAsia="zh-CN"/>
        </w:rPr>
        <w:t xml:space="preserve"> zostanie odrzucona</w:t>
      </w:r>
      <w:r w:rsidRPr="003036B0">
        <w:rPr>
          <w:rFonts w:ascii="Times New Roman" w:eastAsia="Calibri" w:hAnsi="Times New Roman" w:cs="Times New Roman"/>
          <w:lang w:eastAsia="zh-CN"/>
        </w:rPr>
        <w:t>.</w:t>
      </w:r>
    </w:p>
    <w:p w14:paraId="62D303A1" w14:textId="77777777" w:rsidR="003036B0" w:rsidRPr="003036B0" w:rsidRDefault="003036B0" w:rsidP="00D858C2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3036B0">
        <w:rPr>
          <w:rFonts w:ascii="Times New Roman" w:eastAsia="Calibri" w:hAnsi="Times New Roman" w:cs="Times New Roman"/>
          <w:lang w:eastAsia="zh-CN"/>
        </w:rPr>
        <w:t xml:space="preserve">Zasady zwrotu oraz okoliczności zatrzymania wadium określa art. 98 </w:t>
      </w:r>
      <w:proofErr w:type="spellStart"/>
      <w:r w:rsidRPr="003036B0">
        <w:rPr>
          <w:rFonts w:ascii="Times New Roman" w:eastAsia="Calibri" w:hAnsi="Times New Roman" w:cs="Times New Roman"/>
          <w:lang w:eastAsia="zh-CN"/>
        </w:rPr>
        <w:t>uPzp</w:t>
      </w:r>
      <w:proofErr w:type="spellEnd"/>
      <w:r w:rsidRPr="003036B0">
        <w:rPr>
          <w:rFonts w:ascii="Times New Roman" w:eastAsia="Calibri" w:hAnsi="Times New Roman" w:cs="Times New Roman"/>
          <w:lang w:eastAsia="zh-CN"/>
        </w:rPr>
        <w:t>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4951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28681B" w:rsidRPr="008F12AE" w14:paraId="077E5ECC" w14:textId="77777777" w:rsidTr="000C24D7">
        <w:tc>
          <w:tcPr>
            <w:tcW w:w="5000" w:type="pct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B79EF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284"/>
              </w:tabs>
              <w:suppressAutoHyphens/>
              <w:autoSpaceDN w:val="0"/>
              <w:ind w:left="780" w:hanging="54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206ED34C" w:rsidR="004C5BFD" w:rsidRPr="005001D6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0" w:history="1">
        <w:r w:rsidR="00ED686C" w:rsidRPr="005001D6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3347D1">
        <w:rPr>
          <w:rFonts w:ascii="Times New Roman" w:eastAsia="Calibri" w:hAnsi="Times New Roman" w:cs="Times New Roman"/>
          <w:b/>
          <w:color w:val="000000"/>
          <w:lang w:eastAsia="pl-PL"/>
        </w:rPr>
        <w:t>24.06.2025r.</w:t>
      </w:r>
      <w:r w:rsidR="001E2F9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do godz. 09:</w:t>
      </w:r>
      <w:r w:rsidR="003347D1">
        <w:rPr>
          <w:rFonts w:ascii="Times New Roman" w:eastAsia="Calibri" w:hAnsi="Times New Roman" w:cs="Times New Roman"/>
          <w:b/>
          <w:color w:val="000000"/>
          <w:lang w:eastAsia="pl-PL"/>
        </w:rPr>
        <w:t>15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B79EF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ind w:left="825" w:hanging="54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28702814" w:rsidR="0028681B" w:rsidRPr="005001D6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dniu </w:t>
      </w:r>
      <w:r w:rsidR="003347D1" w:rsidRPr="003347D1">
        <w:rPr>
          <w:rFonts w:ascii="Times New Roman" w:hAnsi="Times New Roman" w:cs="Times New Roman"/>
          <w:b/>
        </w:rPr>
        <w:t>24.06.2025r.</w:t>
      </w:r>
      <w:r w:rsidRPr="003347D1">
        <w:rPr>
          <w:rFonts w:ascii="Times New Roman" w:hAnsi="Times New Roman" w:cs="Times New Roman"/>
          <w:b/>
        </w:rPr>
        <w:t xml:space="preserve"> o godzinie </w:t>
      </w:r>
      <w:r w:rsidR="003347D1" w:rsidRPr="003347D1">
        <w:rPr>
          <w:rFonts w:ascii="Times New Roman" w:hAnsi="Times New Roman" w:cs="Times New Roman"/>
          <w:b/>
        </w:rPr>
        <w:t>09</w:t>
      </w:r>
      <w:r w:rsidR="00091DA5" w:rsidRPr="003347D1">
        <w:rPr>
          <w:rFonts w:ascii="Times New Roman" w:hAnsi="Times New Roman" w:cs="Times New Roman"/>
          <w:b/>
        </w:rPr>
        <w:t>:</w:t>
      </w:r>
      <w:r w:rsidR="003347D1" w:rsidRPr="003347D1">
        <w:rPr>
          <w:rFonts w:ascii="Times New Roman" w:hAnsi="Times New Roman" w:cs="Times New Roman"/>
          <w:b/>
        </w:rPr>
        <w:t>3</w:t>
      </w:r>
      <w:r w:rsidR="00091DA5" w:rsidRPr="003347D1">
        <w:rPr>
          <w:rFonts w:ascii="Times New Roman" w:hAnsi="Times New Roman" w:cs="Times New Roman"/>
          <w:b/>
        </w:rPr>
        <w:t>0.</w:t>
      </w:r>
      <w:r w:rsidRPr="005001D6">
        <w:rPr>
          <w:rFonts w:ascii="Times New Roman" w:hAnsi="Times New Roman" w:cs="Times New Roman"/>
          <w:b/>
          <w:bCs/>
        </w:rPr>
        <w:t xml:space="preserve"> </w:t>
      </w:r>
    </w:p>
    <w:p w14:paraId="758ECEA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4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lastRenderedPageBreak/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715A98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15A98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5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8F12A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8F12AE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zostanie odrzucona (art. 226 ust. 1 pkt 5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>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 xml:space="preserve">I niniejszej SWZ. Przepisy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529B9F84" w14:textId="77777777" w:rsidR="00CA451C" w:rsidRDefault="00CA451C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F15639" w:rsidRPr="005D20B9" w14:paraId="636916C3" w14:textId="77777777" w:rsidTr="00084835">
        <w:tc>
          <w:tcPr>
            <w:tcW w:w="9535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84835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60"/>
              </w:tabs>
              <w:suppressAutoHyphens/>
              <w:autoSpaceDN w:val="0"/>
              <w:spacing w:after="0" w:line="240" w:lineRule="auto"/>
              <w:ind w:left="780" w:hanging="72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4E66430B" w:rsidR="00F15639" w:rsidRPr="002742ED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1E2F96">
        <w:rPr>
          <w:rFonts w:ascii="Times New Roman" w:eastAsia="Calibri" w:hAnsi="Times New Roman" w:cs="Times New Roman"/>
        </w:rPr>
        <w:t xml:space="preserve">anowiących załączniki </w:t>
      </w:r>
      <w:r w:rsidR="001E2F96" w:rsidRPr="00B05856">
        <w:rPr>
          <w:rFonts w:ascii="Times New Roman" w:eastAsia="Calibri" w:hAnsi="Times New Roman" w:cs="Times New Roman"/>
          <w:b/>
          <w:bCs/>
        </w:rPr>
        <w:t>nr</w:t>
      </w:r>
      <w:r w:rsidR="001E2F96">
        <w:rPr>
          <w:rFonts w:ascii="Times New Roman" w:eastAsia="Calibri" w:hAnsi="Times New Roman" w:cs="Times New Roman"/>
        </w:rPr>
        <w:t xml:space="preserve"> </w:t>
      </w:r>
      <w:r w:rsidR="001E2F96" w:rsidRPr="00B05856">
        <w:rPr>
          <w:rFonts w:ascii="Times New Roman" w:eastAsia="Calibri" w:hAnsi="Times New Roman" w:cs="Times New Roman"/>
          <w:b/>
          <w:bCs/>
        </w:rPr>
        <w:t>1.1-1.</w:t>
      </w:r>
      <w:r w:rsidR="00B05856" w:rsidRPr="00B05856">
        <w:rPr>
          <w:rFonts w:ascii="Times New Roman" w:eastAsia="Calibri" w:hAnsi="Times New Roman" w:cs="Times New Roman"/>
          <w:b/>
          <w:bCs/>
        </w:rPr>
        <w:t>59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lastRenderedPageBreak/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D858C2">
      <w:pPr>
        <w:pStyle w:val="Akapitzlist"/>
        <w:numPr>
          <w:ilvl w:val="3"/>
          <w:numId w:val="59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D858C2">
      <w:pPr>
        <w:pStyle w:val="Akapitzlist"/>
        <w:numPr>
          <w:ilvl w:val="3"/>
          <w:numId w:val="59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D858C2">
      <w:pPr>
        <w:pStyle w:val="Akapitzlist"/>
        <w:numPr>
          <w:ilvl w:val="3"/>
          <w:numId w:val="59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D858C2">
      <w:pPr>
        <w:pStyle w:val="Akapitzlist"/>
        <w:numPr>
          <w:ilvl w:val="3"/>
          <w:numId w:val="59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480051D1" w:rsidR="00606A38" w:rsidRDefault="00F15639" w:rsidP="00D858C2">
      <w:pPr>
        <w:pStyle w:val="Akapitzlist"/>
        <w:numPr>
          <w:ilvl w:val="3"/>
          <w:numId w:val="59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§12 ust.</w:t>
      </w:r>
      <w:r w:rsidR="00E950AB">
        <w:rPr>
          <w:rFonts w:ascii="Times New Roman" w:eastAsia="Calibri" w:hAnsi="Times New Roman" w:cs="Times New Roman"/>
          <w:noProof/>
        </w:rPr>
        <w:t>3</w:t>
      </w:r>
      <w:r w:rsidR="00632CAB">
        <w:rPr>
          <w:rFonts w:ascii="Times New Roman" w:eastAsia="Calibri" w:hAnsi="Times New Roman" w:cs="Times New Roman"/>
          <w:noProof/>
        </w:rPr>
        <w:t xml:space="preserve"> pkt 2-4</w:t>
      </w:r>
    </w:p>
    <w:p w14:paraId="59C80E64" w14:textId="77777777" w:rsidR="00F15639" w:rsidRPr="008A0F6A" w:rsidRDefault="00F15639" w:rsidP="00D858C2">
      <w:pPr>
        <w:pStyle w:val="Akapitzlist"/>
        <w:numPr>
          <w:ilvl w:val="3"/>
          <w:numId w:val="59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D858C2">
      <w:pPr>
        <w:pStyle w:val="Akapitzlist"/>
        <w:numPr>
          <w:ilvl w:val="3"/>
          <w:numId w:val="59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3B42B8BD" w:rsid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</w:t>
      </w:r>
      <w:r w:rsidR="00E950AB">
        <w:rPr>
          <w:rFonts w:ascii="Times New Roman" w:eastAsia="Calibri" w:hAnsi="Times New Roman" w:cs="Times New Roman"/>
          <w:color w:val="000000"/>
          <w:lang w:eastAsia="pl-PL"/>
        </w:rPr>
        <w:t>W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ykonawcy, będzie miała zastosowanie. </w:t>
      </w:r>
    </w:p>
    <w:p w14:paraId="248A4E4D" w14:textId="77777777" w:rsidR="00DC7F2F" w:rsidRPr="00362445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7A6F4A" w:rsidRPr="00084835" w14:paraId="2632F170" w14:textId="77777777" w:rsidTr="00084835">
        <w:tc>
          <w:tcPr>
            <w:tcW w:w="9535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84835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780"/>
              </w:tabs>
              <w:suppressAutoHyphens/>
              <w:autoSpaceDN w:val="0"/>
              <w:spacing w:after="0" w:line="240" w:lineRule="auto"/>
              <w:ind w:left="780" w:hanging="72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Default="00E32858" w:rsidP="00E32858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5C126A69" w14:textId="77777777" w:rsidR="00465D6C" w:rsidRPr="00465D6C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465D6C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100%</w:t>
      </w: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465D6C" w:rsidRDefault="00465D6C" w:rsidP="00465D6C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EB46DA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Najniższa oferowana cena</w:t>
      </w:r>
    </w:p>
    <w:p w14:paraId="4AE08021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badanej oferty</w:t>
      </w:r>
    </w:p>
    <w:p w14:paraId="200DB8B9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lastRenderedPageBreak/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1A4954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F347C6" w:rsidRPr="005D20B9" w14:paraId="149E018B" w14:textId="77777777" w:rsidTr="00084835">
        <w:tc>
          <w:tcPr>
            <w:tcW w:w="9535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F92F08">
            <w:pPr>
              <w:pStyle w:val="Akapitzlist"/>
              <w:keepNext/>
              <w:keepLines/>
              <w:numPr>
                <w:ilvl w:val="0"/>
                <w:numId w:val="70"/>
              </w:numPr>
              <w:tabs>
                <w:tab w:val="left" w:pos="420"/>
              </w:tabs>
              <w:suppressAutoHyphens/>
              <w:autoSpaceDN w:val="0"/>
              <w:spacing w:after="0" w:line="240" w:lineRule="auto"/>
              <w:ind w:left="780" w:hanging="54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4951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EB1120" w14:paraId="26EBB072" w14:textId="77777777" w:rsidTr="00F92F08">
        <w:tc>
          <w:tcPr>
            <w:tcW w:w="5000" w:type="pct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F92F08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ind w:left="780" w:hanging="7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lastRenderedPageBreak/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3" w:name="__RefHeading__86_381024118"/>
      <w:bookmarkEnd w:id="23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5D20B9" w:rsidRPr="005D20B9" w14:paraId="12A0E429" w14:textId="77777777" w:rsidTr="00084835">
        <w:tc>
          <w:tcPr>
            <w:tcW w:w="9535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F92F08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780" w:hanging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5D20B9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5D20B9" w:rsidRPr="005D20B9" w14:paraId="451A36EB" w14:textId="77777777" w:rsidTr="00084835">
        <w:trPr>
          <w:trHeight w:val="399"/>
        </w:trPr>
        <w:tc>
          <w:tcPr>
            <w:tcW w:w="9535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694A1180" w:rsidR="003E4209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598E3B55" w14:textId="77777777" w:rsidR="005157C2" w:rsidRPr="00FB2BDF" w:rsidRDefault="005157C2" w:rsidP="005157C2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3278A6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1DBFF11E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091DA5">
        <w:rPr>
          <w:rFonts w:ascii="Times New Roman" w:eastAsia="Times New Roman" w:hAnsi="Times New Roman" w:cs="Times New Roman"/>
          <w:b/>
          <w:color w:val="000000"/>
          <w:lang w:eastAsia="pl-PL"/>
        </w:rPr>
        <w:t>Jakub Betka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6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773E09C9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Szp</w:t>
      </w:r>
      <w:r w:rsidR="00010986">
        <w:rPr>
          <w:rFonts w:ascii="Times New Roman" w:eastAsia="Calibri" w:hAnsi="Times New Roman" w:cs="Times New Roman"/>
          <w:b/>
          <w:color w:val="000000"/>
        </w:rPr>
        <w:t>-241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/</w:t>
      </w:r>
      <w:r w:rsidR="00010986">
        <w:rPr>
          <w:rFonts w:ascii="Times New Roman" w:eastAsia="Calibri" w:hAnsi="Times New Roman" w:cs="Times New Roman"/>
          <w:b/>
          <w:color w:val="000000"/>
        </w:rPr>
        <w:t>FZ</w:t>
      </w:r>
      <w:r w:rsidR="0018597F">
        <w:rPr>
          <w:rFonts w:ascii="Times New Roman" w:eastAsia="Calibri" w:hAnsi="Times New Roman" w:cs="Times New Roman"/>
          <w:b/>
          <w:color w:val="000000"/>
        </w:rPr>
        <w:t>-</w:t>
      </w:r>
      <w:r w:rsidR="00010986">
        <w:rPr>
          <w:rFonts w:ascii="Times New Roman" w:eastAsia="Calibri" w:hAnsi="Times New Roman" w:cs="Times New Roman"/>
          <w:b/>
          <w:color w:val="000000"/>
        </w:rPr>
        <w:t>034</w:t>
      </w:r>
      <w:r w:rsidRPr="00FB2BDF">
        <w:rPr>
          <w:rFonts w:ascii="Times New Roman" w:eastAsia="Calibri" w:hAnsi="Times New Roman" w:cs="Times New Roman"/>
          <w:b/>
          <w:color w:val="000000"/>
        </w:rPr>
        <w:t>/202</w:t>
      </w:r>
      <w:r w:rsidR="00010986">
        <w:rPr>
          <w:rFonts w:ascii="Times New Roman" w:eastAsia="Calibri" w:hAnsi="Times New Roman" w:cs="Times New Roman"/>
          <w:b/>
          <w:color w:val="000000"/>
        </w:rPr>
        <w:t>5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2FAF2AE8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ustawy z dnia 11 września 2019r. – Prawo zamówień publicznych (Dz. U. z 20</w:t>
      </w:r>
      <w:r w:rsidR="009E1FE2">
        <w:rPr>
          <w:rFonts w:ascii="Times New Roman" w:eastAsia="Times New Roman" w:hAnsi="Times New Roman" w:cs="Times New Roman"/>
          <w:color w:val="000000"/>
          <w:lang w:eastAsia="pl-PL"/>
        </w:rPr>
        <w:t>24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9E1FE2">
        <w:rPr>
          <w:rFonts w:ascii="Times New Roman" w:eastAsia="Times New Roman" w:hAnsi="Times New Roman" w:cs="Times New Roman"/>
          <w:color w:val="000000"/>
          <w:lang w:eastAsia="pl-PL"/>
        </w:rPr>
        <w:t>1620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ze zm.) zwana dalej „ustawą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FB2BDF">
        <w:rPr>
          <w:rFonts w:ascii="Times New Roman" w:eastAsia="Calibri" w:hAnsi="Times New Roman" w:cs="Times New Roman"/>
          <w:i/>
        </w:rPr>
        <w:t>Pzp</w:t>
      </w:r>
      <w:proofErr w:type="spellEnd"/>
      <w:r w:rsidRPr="00FB2BDF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7CD8FD77" w14:textId="77777777" w:rsidR="00E07E56" w:rsidRDefault="00E07E56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46A4CBCD" w14:textId="77777777" w:rsidR="00F62363" w:rsidRPr="00D87EC4" w:rsidRDefault="00F62363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3874FE7B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owy i zał</w:t>
      </w:r>
      <w:r w:rsidR="0029024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ącznik 2.1  - wzór umowy użyczenia oraz zał. 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2A wzór faktury elektronicznej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oświadczenie Wykonawcy </w:t>
      </w:r>
      <w:r w:rsidR="00FB2BD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BF420AB" w14:textId="795E177A" w:rsidR="00A114FA" w:rsidRPr="00A114FA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5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oświadczenie sankcje</w:t>
      </w:r>
    </w:p>
    <w:p w14:paraId="64DA75FC" w14:textId="77777777" w:rsidR="00D44630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u w:val="single"/>
        </w:rPr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CA03" w14:textId="77777777" w:rsidR="00A922EA" w:rsidRDefault="00A922EA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A922EA" w:rsidRDefault="00A9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1EDFCB91" w:rsidR="00A922EA" w:rsidRPr="00851403" w:rsidRDefault="00A922EA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r w:rsidR="006D41FD">
              <w:rPr>
                <w:rFonts w:ascii="Times New Roman" w:hAnsi="Times New Roman"/>
                <w:sz w:val="20"/>
                <w:szCs w:val="20"/>
                <w:lang w:val="pl-PL"/>
              </w:rPr>
              <w:t>-241</w:t>
            </w:r>
            <w:r w:rsidR="00DB6F01">
              <w:rPr>
                <w:rFonts w:ascii="Times New Roman" w:hAnsi="Times New Roman"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/</w:t>
            </w:r>
            <w:r w:rsidR="006D41FD">
              <w:rPr>
                <w:rFonts w:ascii="Times New Roman" w:hAnsi="Times New Roman"/>
                <w:sz w:val="20"/>
                <w:szCs w:val="20"/>
                <w:lang w:val="pl-PL"/>
              </w:rPr>
              <w:t>FZ</w:t>
            </w:r>
            <w:r w:rsidR="00CE53E5">
              <w:rPr>
                <w:rFonts w:ascii="Times New Roman" w:hAnsi="Times New Roman"/>
                <w:sz w:val="20"/>
                <w:szCs w:val="20"/>
                <w:lang w:val="pl-PL"/>
              </w:rPr>
              <w:t>-</w:t>
            </w:r>
            <w:r w:rsidR="006D41FD">
              <w:rPr>
                <w:rFonts w:ascii="Times New Roman" w:hAnsi="Times New Roman"/>
                <w:sz w:val="20"/>
                <w:szCs w:val="20"/>
                <w:lang w:val="pl-PL"/>
              </w:rPr>
              <w:t>034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 w:rsidR="006D41FD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7220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7220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94C7" w14:textId="77777777" w:rsidR="00A922EA" w:rsidRDefault="00A922EA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A922EA" w:rsidRDefault="00A9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659" w:hanging="360"/>
      </w:p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CF6"/>
    <w:multiLevelType w:val="hybridMultilevel"/>
    <w:tmpl w:val="53568554"/>
    <w:lvl w:ilvl="0" w:tplc="F5A09C92">
      <w:start w:val="20"/>
      <w:numFmt w:val="upperRoman"/>
      <w:suff w:val="space"/>
      <w:lvlText w:val="%1."/>
      <w:lvlJc w:val="lef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2306"/>
    <w:multiLevelType w:val="hybridMultilevel"/>
    <w:tmpl w:val="6B006D96"/>
    <w:lvl w:ilvl="0" w:tplc="7DD285DC">
      <w:start w:val="1"/>
      <w:numFmt w:val="upperRoman"/>
      <w:suff w:val="space"/>
      <w:lvlText w:val="%1."/>
      <w:lvlJc w:val="right"/>
      <w:pPr>
        <w:ind w:left="284" w:firstLine="283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F16C9D"/>
    <w:multiLevelType w:val="hybridMultilevel"/>
    <w:tmpl w:val="F3EC415C"/>
    <w:lvl w:ilvl="0" w:tplc="DE3A0BA4">
      <w:start w:val="4"/>
      <w:numFmt w:val="upperRoman"/>
      <w:suff w:val="space"/>
      <w:lvlText w:val="%1."/>
      <w:lvlJc w:val="right"/>
      <w:pPr>
        <w:ind w:left="284" w:firstLine="283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1813FE6"/>
    <w:multiLevelType w:val="hybridMultilevel"/>
    <w:tmpl w:val="4EEC3864"/>
    <w:lvl w:ilvl="0" w:tplc="AA563294">
      <w:start w:val="1"/>
      <w:numFmt w:val="decimal"/>
      <w:lvlText w:val="%1."/>
      <w:lvlJc w:val="left"/>
      <w:pPr>
        <w:ind w:left="1572" w:hanging="72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41AD547A"/>
    <w:multiLevelType w:val="multilevel"/>
    <w:tmpl w:val="7EFAD0F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5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8384211"/>
    <w:multiLevelType w:val="hybridMultilevel"/>
    <w:tmpl w:val="55923D92"/>
    <w:lvl w:ilvl="0" w:tplc="90E05AB2">
      <w:start w:val="1"/>
      <w:numFmt w:val="upperRoman"/>
      <w:suff w:val="space"/>
      <w:lvlText w:val="%1."/>
      <w:lvlJc w:val="right"/>
      <w:pPr>
        <w:ind w:left="284" w:firstLine="283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0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1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CB7E79"/>
    <w:multiLevelType w:val="hybridMultilevel"/>
    <w:tmpl w:val="158CD94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D5A2736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3" w15:restartNumberingAfterBreak="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75B627CD"/>
    <w:multiLevelType w:val="hybridMultilevel"/>
    <w:tmpl w:val="B9883628"/>
    <w:lvl w:ilvl="0" w:tplc="2CDE8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7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6091">
    <w:abstractNumId w:val="38"/>
  </w:num>
  <w:num w:numId="2" w16cid:durableId="2072265944">
    <w:abstractNumId w:val="52"/>
  </w:num>
  <w:num w:numId="3" w16cid:durableId="1044644577">
    <w:abstractNumId w:val="46"/>
  </w:num>
  <w:num w:numId="4" w16cid:durableId="1696081053">
    <w:abstractNumId w:val="47"/>
  </w:num>
  <w:num w:numId="5" w16cid:durableId="1978415263">
    <w:abstractNumId w:val="1"/>
  </w:num>
  <w:num w:numId="6" w16cid:durableId="1282767856">
    <w:abstractNumId w:val="62"/>
  </w:num>
  <w:num w:numId="7" w16cid:durableId="871383814">
    <w:abstractNumId w:val="54"/>
  </w:num>
  <w:num w:numId="8" w16cid:durableId="1107117043">
    <w:abstractNumId w:val="53"/>
  </w:num>
  <w:num w:numId="9" w16cid:durableId="980619361">
    <w:abstractNumId w:val="58"/>
  </w:num>
  <w:num w:numId="10" w16cid:durableId="268661798">
    <w:abstractNumId w:val="36"/>
  </w:num>
  <w:num w:numId="11" w16cid:durableId="1125344777">
    <w:abstractNumId w:val="35"/>
  </w:num>
  <w:num w:numId="12" w16cid:durableId="1896967299">
    <w:abstractNumId w:val="37"/>
  </w:num>
  <w:num w:numId="13" w16cid:durableId="1198736318">
    <w:abstractNumId w:val="10"/>
  </w:num>
  <w:num w:numId="14" w16cid:durableId="128717891">
    <w:abstractNumId w:val="8"/>
  </w:num>
  <w:num w:numId="15" w16cid:durableId="1229343530">
    <w:abstractNumId w:val="12"/>
  </w:num>
  <w:num w:numId="16" w16cid:durableId="1521819653">
    <w:abstractNumId w:val="39"/>
  </w:num>
  <w:num w:numId="17" w16cid:durableId="687412361">
    <w:abstractNumId w:val="51"/>
  </w:num>
  <w:num w:numId="18" w16cid:durableId="284120975">
    <w:abstractNumId w:val="61"/>
  </w:num>
  <w:num w:numId="19" w16cid:durableId="1634677595">
    <w:abstractNumId w:val="33"/>
  </w:num>
  <w:num w:numId="20" w16cid:durableId="1116564996">
    <w:abstractNumId w:val="40"/>
  </w:num>
  <w:num w:numId="21" w16cid:durableId="1038046004">
    <w:abstractNumId w:val="55"/>
  </w:num>
  <w:num w:numId="22" w16cid:durableId="134028567">
    <w:abstractNumId w:val="43"/>
  </w:num>
  <w:num w:numId="23" w16cid:durableId="6585346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002178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3754252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6032534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25946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49912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0153177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65152402">
    <w:abstractNumId w:val="44"/>
  </w:num>
  <w:num w:numId="31" w16cid:durableId="281227270">
    <w:abstractNumId w:val="50"/>
  </w:num>
  <w:num w:numId="32" w16cid:durableId="1025982992">
    <w:abstractNumId w:val="20"/>
  </w:num>
  <w:num w:numId="33" w16cid:durableId="924650444">
    <w:abstractNumId w:val="42"/>
  </w:num>
  <w:num w:numId="34" w16cid:durableId="749234561">
    <w:abstractNumId w:val="18"/>
  </w:num>
  <w:num w:numId="35" w16cid:durableId="1577282749">
    <w:abstractNumId w:val="21"/>
  </w:num>
  <w:num w:numId="36" w16cid:durableId="12866175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1818424">
    <w:abstractNumId w:val="27"/>
  </w:num>
  <w:num w:numId="38" w16cid:durableId="536234687">
    <w:abstractNumId w:val="0"/>
  </w:num>
  <w:num w:numId="39" w16cid:durableId="1474761309">
    <w:abstractNumId w:val="22"/>
  </w:num>
  <w:num w:numId="40" w16cid:durableId="1348869312">
    <w:abstractNumId w:val="49"/>
  </w:num>
  <w:num w:numId="41" w16cid:durableId="472990730">
    <w:abstractNumId w:val="64"/>
  </w:num>
  <w:num w:numId="42" w16cid:durableId="442261122">
    <w:abstractNumId w:val="25"/>
  </w:num>
  <w:num w:numId="43" w16cid:durableId="1956977888">
    <w:abstractNumId w:val="23"/>
  </w:num>
  <w:num w:numId="44" w16cid:durableId="317810779">
    <w:abstractNumId w:val="66"/>
  </w:num>
  <w:num w:numId="45" w16cid:durableId="1601910118">
    <w:abstractNumId w:val="56"/>
  </w:num>
  <w:num w:numId="46" w16cid:durableId="758063788">
    <w:abstractNumId w:val="67"/>
  </w:num>
  <w:num w:numId="47" w16cid:durableId="1756781840">
    <w:abstractNumId w:val="30"/>
  </w:num>
  <w:num w:numId="48" w16cid:durableId="1243300614">
    <w:abstractNumId w:val="6"/>
  </w:num>
  <w:num w:numId="49" w16cid:durableId="1205292341">
    <w:abstractNumId w:val="2"/>
  </w:num>
  <w:num w:numId="50" w16cid:durableId="1438914983">
    <w:abstractNumId w:val="7"/>
  </w:num>
  <w:num w:numId="51" w16cid:durableId="1584409746">
    <w:abstractNumId w:val="24"/>
  </w:num>
  <w:num w:numId="52" w16cid:durableId="434255840">
    <w:abstractNumId w:val="48"/>
  </w:num>
  <w:num w:numId="53" w16cid:durableId="1952273660">
    <w:abstractNumId w:val="17"/>
  </w:num>
  <w:num w:numId="54" w16cid:durableId="327950051">
    <w:abstractNumId w:val="45"/>
  </w:num>
  <w:num w:numId="55" w16cid:durableId="342708703">
    <w:abstractNumId w:val="16"/>
  </w:num>
  <w:num w:numId="56" w16cid:durableId="286811809">
    <w:abstractNumId w:val="63"/>
  </w:num>
  <w:num w:numId="57" w16cid:durableId="1363676841">
    <w:abstractNumId w:val="29"/>
  </w:num>
  <w:num w:numId="58" w16cid:durableId="730924104">
    <w:abstractNumId w:val="59"/>
  </w:num>
  <w:num w:numId="59" w16cid:durableId="1432700410">
    <w:abstractNumId w:val="11"/>
  </w:num>
  <w:num w:numId="60" w16cid:durableId="1221870002">
    <w:abstractNumId w:val="9"/>
  </w:num>
  <w:num w:numId="61" w16cid:durableId="59023838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5950027">
    <w:abstractNumId w:val="19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147114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6695793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89204919">
    <w:abstractNumId w:val="32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0102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91932110">
    <w:abstractNumId w:val="41"/>
  </w:num>
  <w:num w:numId="68" w16cid:durableId="59989562">
    <w:abstractNumId w:val="13"/>
  </w:num>
  <w:num w:numId="69" w16cid:durableId="1809204669">
    <w:abstractNumId w:val="3"/>
  </w:num>
  <w:num w:numId="70" w16cid:durableId="1888444024">
    <w:abstractNumId w:val="6"/>
    <w:lvlOverride w:ilvl="0">
      <w:lvl w:ilvl="0" w:tplc="F5A09C92">
        <w:start w:val="20"/>
        <w:numFmt w:val="upperRoman"/>
        <w:suff w:val="space"/>
        <w:lvlText w:val="%1."/>
        <w:lvlJc w:val="left"/>
        <w:pPr>
          <w:ind w:left="284" w:firstLine="283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7CD4BC-5909-4D06-A643-C90287908278}"/>
  </w:docVars>
  <w:rsids>
    <w:rsidRoot w:val="005D20B9"/>
    <w:rsid w:val="00001800"/>
    <w:rsid w:val="0000231E"/>
    <w:rsid w:val="00010986"/>
    <w:rsid w:val="00012264"/>
    <w:rsid w:val="00016E84"/>
    <w:rsid w:val="000200DF"/>
    <w:rsid w:val="00022E40"/>
    <w:rsid w:val="00024365"/>
    <w:rsid w:val="00025A02"/>
    <w:rsid w:val="000327E4"/>
    <w:rsid w:val="000334E0"/>
    <w:rsid w:val="000457FF"/>
    <w:rsid w:val="00052569"/>
    <w:rsid w:val="000570EB"/>
    <w:rsid w:val="000651F0"/>
    <w:rsid w:val="000654AF"/>
    <w:rsid w:val="0007133D"/>
    <w:rsid w:val="000724D2"/>
    <w:rsid w:val="000764F4"/>
    <w:rsid w:val="00076535"/>
    <w:rsid w:val="000775D6"/>
    <w:rsid w:val="00080BB9"/>
    <w:rsid w:val="00084835"/>
    <w:rsid w:val="00085067"/>
    <w:rsid w:val="00087CA2"/>
    <w:rsid w:val="00091DA5"/>
    <w:rsid w:val="00093061"/>
    <w:rsid w:val="000972D4"/>
    <w:rsid w:val="000A70E0"/>
    <w:rsid w:val="000A770C"/>
    <w:rsid w:val="000B44DB"/>
    <w:rsid w:val="000B4E7E"/>
    <w:rsid w:val="000B67A9"/>
    <w:rsid w:val="000B79EF"/>
    <w:rsid w:val="000C0427"/>
    <w:rsid w:val="000C24D7"/>
    <w:rsid w:val="000C7E20"/>
    <w:rsid w:val="000D08E8"/>
    <w:rsid w:val="000D13E8"/>
    <w:rsid w:val="000E43E0"/>
    <w:rsid w:val="000E6BBB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097"/>
    <w:rsid w:val="00144B2D"/>
    <w:rsid w:val="00145541"/>
    <w:rsid w:val="00154F73"/>
    <w:rsid w:val="00161E19"/>
    <w:rsid w:val="00166389"/>
    <w:rsid w:val="001669DB"/>
    <w:rsid w:val="00172DE5"/>
    <w:rsid w:val="00177626"/>
    <w:rsid w:val="00182C81"/>
    <w:rsid w:val="00182CDE"/>
    <w:rsid w:val="0018359A"/>
    <w:rsid w:val="00183D5F"/>
    <w:rsid w:val="0018597F"/>
    <w:rsid w:val="00185CE6"/>
    <w:rsid w:val="00187368"/>
    <w:rsid w:val="00190CC0"/>
    <w:rsid w:val="00196F01"/>
    <w:rsid w:val="001A4954"/>
    <w:rsid w:val="001A611B"/>
    <w:rsid w:val="001A61F3"/>
    <w:rsid w:val="001B5461"/>
    <w:rsid w:val="001B6357"/>
    <w:rsid w:val="001B7055"/>
    <w:rsid w:val="001B705E"/>
    <w:rsid w:val="001C4385"/>
    <w:rsid w:val="001D1278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13AC"/>
    <w:rsid w:val="001F3C0C"/>
    <w:rsid w:val="001F6A3A"/>
    <w:rsid w:val="00200853"/>
    <w:rsid w:val="00201FE7"/>
    <w:rsid w:val="002024B1"/>
    <w:rsid w:val="00204674"/>
    <w:rsid w:val="0020685C"/>
    <w:rsid w:val="0020751C"/>
    <w:rsid w:val="002101C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244"/>
    <w:rsid w:val="0029072D"/>
    <w:rsid w:val="00290A80"/>
    <w:rsid w:val="002939FE"/>
    <w:rsid w:val="0029494B"/>
    <w:rsid w:val="00295FB8"/>
    <w:rsid w:val="002975C6"/>
    <w:rsid w:val="002A2A49"/>
    <w:rsid w:val="002A3761"/>
    <w:rsid w:val="002A6A28"/>
    <w:rsid w:val="002A77EF"/>
    <w:rsid w:val="002A7DA1"/>
    <w:rsid w:val="002B1DDD"/>
    <w:rsid w:val="002B1E81"/>
    <w:rsid w:val="002B47BF"/>
    <w:rsid w:val="002B5729"/>
    <w:rsid w:val="002C23C7"/>
    <w:rsid w:val="002D0B16"/>
    <w:rsid w:val="002D4F89"/>
    <w:rsid w:val="002D6A4D"/>
    <w:rsid w:val="002D6C0A"/>
    <w:rsid w:val="002D6FE5"/>
    <w:rsid w:val="002D7E93"/>
    <w:rsid w:val="002E04F6"/>
    <w:rsid w:val="002E271C"/>
    <w:rsid w:val="002E4367"/>
    <w:rsid w:val="002E4FCD"/>
    <w:rsid w:val="002E5D6E"/>
    <w:rsid w:val="002F542A"/>
    <w:rsid w:val="003029E7"/>
    <w:rsid w:val="003036B0"/>
    <w:rsid w:val="00310076"/>
    <w:rsid w:val="003106DF"/>
    <w:rsid w:val="0031145E"/>
    <w:rsid w:val="003138CB"/>
    <w:rsid w:val="00314DFC"/>
    <w:rsid w:val="003177A1"/>
    <w:rsid w:val="00317C2A"/>
    <w:rsid w:val="003209EF"/>
    <w:rsid w:val="00321D7F"/>
    <w:rsid w:val="0032229F"/>
    <w:rsid w:val="0032443A"/>
    <w:rsid w:val="00332004"/>
    <w:rsid w:val="00332BD6"/>
    <w:rsid w:val="003347D1"/>
    <w:rsid w:val="00336C21"/>
    <w:rsid w:val="00336D37"/>
    <w:rsid w:val="00337204"/>
    <w:rsid w:val="0034550B"/>
    <w:rsid w:val="00350087"/>
    <w:rsid w:val="003516CC"/>
    <w:rsid w:val="0035489C"/>
    <w:rsid w:val="00360804"/>
    <w:rsid w:val="00362445"/>
    <w:rsid w:val="00367265"/>
    <w:rsid w:val="00367CC8"/>
    <w:rsid w:val="00372084"/>
    <w:rsid w:val="0037301F"/>
    <w:rsid w:val="00376054"/>
    <w:rsid w:val="00380117"/>
    <w:rsid w:val="003827CE"/>
    <w:rsid w:val="0038307E"/>
    <w:rsid w:val="003850CA"/>
    <w:rsid w:val="00387B8B"/>
    <w:rsid w:val="00387ED5"/>
    <w:rsid w:val="003920F5"/>
    <w:rsid w:val="00393B61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28AF"/>
    <w:rsid w:val="003E38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174E"/>
    <w:rsid w:val="00402DB2"/>
    <w:rsid w:val="00403621"/>
    <w:rsid w:val="00405D9F"/>
    <w:rsid w:val="00406382"/>
    <w:rsid w:val="0040660A"/>
    <w:rsid w:val="00417B88"/>
    <w:rsid w:val="00421D70"/>
    <w:rsid w:val="00423C0E"/>
    <w:rsid w:val="00423E54"/>
    <w:rsid w:val="00434431"/>
    <w:rsid w:val="004465DB"/>
    <w:rsid w:val="004524F6"/>
    <w:rsid w:val="00454600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E48BA"/>
    <w:rsid w:val="004F1E7D"/>
    <w:rsid w:val="004F20A1"/>
    <w:rsid w:val="004F23C3"/>
    <w:rsid w:val="004F4856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157C2"/>
    <w:rsid w:val="00520458"/>
    <w:rsid w:val="00524330"/>
    <w:rsid w:val="00524BB2"/>
    <w:rsid w:val="00534CAB"/>
    <w:rsid w:val="0053769A"/>
    <w:rsid w:val="0053783D"/>
    <w:rsid w:val="005411F7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5E88"/>
    <w:rsid w:val="005E3A89"/>
    <w:rsid w:val="005E49F3"/>
    <w:rsid w:val="005F062F"/>
    <w:rsid w:val="005F31BC"/>
    <w:rsid w:val="005F3667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16D33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9CC"/>
    <w:rsid w:val="00674D12"/>
    <w:rsid w:val="006879FF"/>
    <w:rsid w:val="00690F2D"/>
    <w:rsid w:val="00694488"/>
    <w:rsid w:val="00697481"/>
    <w:rsid w:val="006A304C"/>
    <w:rsid w:val="006B0256"/>
    <w:rsid w:val="006B06A2"/>
    <w:rsid w:val="006B7061"/>
    <w:rsid w:val="006C2201"/>
    <w:rsid w:val="006C5809"/>
    <w:rsid w:val="006C659B"/>
    <w:rsid w:val="006C72CB"/>
    <w:rsid w:val="006C7AE9"/>
    <w:rsid w:val="006D247B"/>
    <w:rsid w:val="006D41FD"/>
    <w:rsid w:val="006D6198"/>
    <w:rsid w:val="006E2479"/>
    <w:rsid w:val="006F302E"/>
    <w:rsid w:val="006F3C63"/>
    <w:rsid w:val="006F4B37"/>
    <w:rsid w:val="00700ED5"/>
    <w:rsid w:val="00702883"/>
    <w:rsid w:val="0070292E"/>
    <w:rsid w:val="007045AA"/>
    <w:rsid w:val="00706C49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61066"/>
    <w:rsid w:val="0077151C"/>
    <w:rsid w:val="007747BB"/>
    <w:rsid w:val="00774AC3"/>
    <w:rsid w:val="00780704"/>
    <w:rsid w:val="007830DB"/>
    <w:rsid w:val="00784FDB"/>
    <w:rsid w:val="007856DF"/>
    <w:rsid w:val="00791278"/>
    <w:rsid w:val="00793297"/>
    <w:rsid w:val="0079545A"/>
    <w:rsid w:val="007960A6"/>
    <w:rsid w:val="00796490"/>
    <w:rsid w:val="007A5D74"/>
    <w:rsid w:val="007A68FA"/>
    <w:rsid w:val="007A6CE5"/>
    <w:rsid w:val="007A6F4A"/>
    <w:rsid w:val="007A72DA"/>
    <w:rsid w:val="007B1EA4"/>
    <w:rsid w:val="007B1FDE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102F6"/>
    <w:rsid w:val="0082107C"/>
    <w:rsid w:val="008211AA"/>
    <w:rsid w:val="00827BCF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73BB8"/>
    <w:rsid w:val="008814C6"/>
    <w:rsid w:val="00891286"/>
    <w:rsid w:val="008A00F6"/>
    <w:rsid w:val="008A092A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C562B"/>
    <w:rsid w:val="008D2B57"/>
    <w:rsid w:val="008E053F"/>
    <w:rsid w:val="008E060B"/>
    <w:rsid w:val="008E0CD8"/>
    <w:rsid w:val="008E14A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45DB9"/>
    <w:rsid w:val="0094684A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5886"/>
    <w:rsid w:val="0098631F"/>
    <w:rsid w:val="00987FCE"/>
    <w:rsid w:val="00993C5B"/>
    <w:rsid w:val="0099476C"/>
    <w:rsid w:val="009965C9"/>
    <w:rsid w:val="00996FCC"/>
    <w:rsid w:val="0099796F"/>
    <w:rsid w:val="009A0B33"/>
    <w:rsid w:val="009A10AC"/>
    <w:rsid w:val="009A19C4"/>
    <w:rsid w:val="009A5619"/>
    <w:rsid w:val="009B66A4"/>
    <w:rsid w:val="009B6B28"/>
    <w:rsid w:val="009C237E"/>
    <w:rsid w:val="009C2C75"/>
    <w:rsid w:val="009C2D21"/>
    <w:rsid w:val="009C2D50"/>
    <w:rsid w:val="009E1FE2"/>
    <w:rsid w:val="009E5725"/>
    <w:rsid w:val="009F0084"/>
    <w:rsid w:val="009F599C"/>
    <w:rsid w:val="00A0082C"/>
    <w:rsid w:val="00A0642D"/>
    <w:rsid w:val="00A110DA"/>
    <w:rsid w:val="00A114FA"/>
    <w:rsid w:val="00A11D01"/>
    <w:rsid w:val="00A13ED9"/>
    <w:rsid w:val="00A1417A"/>
    <w:rsid w:val="00A16E58"/>
    <w:rsid w:val="00A24939"/>
    <w:rsid w:val="00A2625B"/>
    <w:rsid w:val="00A30104"/>
    <w:rsid w:val="00A342F0"/>
    <w:rsid w:val="00A36A35"/>
    <w:rsid w:val="00A4152A"/>
    <w:rsid w:val="00A4321C"/>
    <w:rsid w:val="00A57C46"/>
    <w:rsid w:val="00A61998"/>
    <w:rsid w:val="00A65B32"/>
    <w:rsid w:val="00A6717C"/>
    <w:rsid w:val="00A709B5"/>
    <w:rsid w:val="00A71FE3"/>
    <w:rsid w:val="00A75E6F"/>
    <w:rsid w:val="00A7648F"/>
    <w:rsid w:val="00A8317F"/>
    <w:rsid w:val="00A842F4"/>
    <w:rsid w:val="00A86A7C"/>
    <w:rsid w:val="00A922EA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013D"/>
    <w:rsid w:val="00AF1476"/>
    <w:rsid w:val="00AF46F9"/>
    <w:rsid w:val="00AF67D3"/>
    <w:rsid w:val="00AF7087"/>
    <w:rsid w:val="00AF76D9"/>
    <w:rsid w:val="00B046B4"/>
    <w:rsid w:val="00B04DE0"/>
    <w:rsid w:val="00B05856"/>
    <w:rsid w:val="00B078ED"/>
    <w:rsid w:val="00B1286B"/>
    <w:rsid w:val="00B15F83"/>
    <w:rsid w:val="00B1727E"/>
    <w:rsid w:val="00B20ECD"/>
    <w:rsid w:val="00B22184"/>
    <w:rsid w:val="00B234D5"/>
    <w:rsid w:val="00B31E23"/>
    <w:rsid w:val="00B35617"/>
    <w:rsid w:val="00B37582"/>
    <w:rsid w:val="00B37ACA"/>
    <w:rsid w:val="00B44437"/>
    <w:rsid w:val="00B5241F"/>
    <w:rsid w:val="00B55754"/>
    <w:rsid w:val="00B57AB7"/>
    <w:rsid w:val="00B604BD"/>
    <w:rsid w:val="00B61D95"/>
    <w:rsid w:val="00B66125"/>
    <w:rsid w:val="00B70D9C"/>
    <w:rsid w:val="00B73122"/>
    <w:rsid w:val="00B757BD"/>
    <w:rsid w:val="00B80FEC"/>
    <w:rsid w:val="00B909A8"/>
    <w:rsid w:val="00B922FA"/>
    <w:rsid w:val="00B93AEC"/>
    <w:rsid w:val="00BA19F2"/>
    <w:rsid w:val="00BA1FD2"/>
    <w:rsid w:val="00BA5E46"/>
    <w:rsid w:val="00BA76C5"/>
    <w:rsid w:val="00BB0E43"/>
    <w:rsid w:val="00BB528E"/>
    <w:rsid w:val="00BC08EA"/>
    <w:rsid w:val="00BC3815"/>
    <w:rsid w:val="00BC791C"/>
    <w:rsid w:val="00BD2C8B"/>
    <w:rsid w:val="00BD2F83"/>
    <w:rsid w:val="00BD6595"/>
    <w:rsid w:val="00BE5566"/>
    <w:rsid w:val="00BE78BE"/>
    <w:rsid w:val="00BF2AC5"/>
    <w:rsid w:val="00BF391C"/>
    <w:rsid w:val="00BF5228"/>
    <w:rsid w:val="00BF77D7"/>
    <w:rsid w:val="00BF7969"/>
    <w:rsid w:val="00C00162"/>
    <w:rsid w:val="00C00F03"/>
    <w:rsid w:val="00C11DC1"/>
    <w:rsid w:val="00C14488"/>
    <w:rsid w:val="00C15AA1"/>
    <w:rsid w:val="00C15F8E"/>
    <w:rsid w:val="00C30C42"/>
    <w:rsid w:val="00C33499"/>
    <w:rsid w:val="00C466D0"/>
    <w:rsid w:val="00C512CA"/>
    <w:rsid w:val="00C5516C"/>
    <w:rsid w:val="00C55D91"/>
    <w:rsid w:val="00C5663E"/>
    <w:rsid w:val="00C615FF"/>
    <w:rsid w:val="00C6462B"/>
    <w:rsid w:val="00C64D32"/>
    <w:rsid w:val="00C7152D"/>
    <w:rsid w:val="00C73782"/>
    <w:rsid w:val="00C762EB"/>
    <w:rsid w:val="00C85D95"/>
    <w:rsid w:val="00C87003"/>
    <w:rsid w:val="00C90E95"/>
    <w:rsid w:val="00C93B97"/>
    <w:rsid w:val="00C94255"/>
    <w:rsid w:val="00C94322"/>
    <w:rsid w:val="00C97164"/>
    <w:rsid w:val="00CA451C"/>
    <w:rsid w:val="00CB071E"/>
    <w:rsid w:val="00CB15C1"/>
    <w:rsid w:val="00CB65E2"/>
    <w:rsid w:val="00CB7ED8"/>
    <w:rsid w:val="00CC0034"/>
    <w:rsid w:val="00CC1B02"/>
    <w:rsid w:val="00CC3646"/>
    <w:rsid w:val="00CD4EF9"/>
    <w:rsid w:val="00CD70F7"/>
    <w:rsid w:val="00CE53E5"/>
    <w:rsid w:val="00CF1278"/>
    <w:rsid w:val="00D00696"/>
    <w:rsid w:val="00D00A33"/>
    <w:rsid w:val="00D037ED"/>
    <w:rsid w:val="00D044BA"/>
    <w:rsid w:val="00D05987"/>
    <w:rsid w:val="00D06B3C"/>
    <w:rsid w:val="00D13EFF"/>
    <w:rsid w:val="00D16353"/>
    <w:rsid w:val="00D21EDD"/>
    <w:rsid w:val="00D2258A"/>
    <w:rsid w:val="00D22E84"/>
    <w:rsid w:val="00D2450B"/>
    <w:rsid w:val="00D3073D"/>
    <w:rsid w:val="00D33FED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673"/>
    <w:rsid w:val="00D75B1C"/>
    <w:rsid w:val="00D833FF"/>
    <w:rsid w:val="00D84AB9"/>
    <w:rsid w:val="00D84B61"/>
    <w:rsid w:val="00D85301"/>
    <w:rsid w:val="00D858C2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B6F01"/>
    <w:rsid w:val="00DC252B"/>
    <w:rsid w:val="00DC43E6"/>
    <w:rsid w:val="00DC4602"/>
    <w:rsid w:val="00DC74F1"/>
    <w:rsid w:val="00DC7D5D"/>
    <w:rsid w:val="00DC7F2F"/>
    <w:rsid w:val="00DD49E0"/>
    <w:rsid w:val="00DE47D3"/>
    <w:rsid w:val="00DE5F05"/>
    <w:rsid w:val="00DF2F03"/>
    <w:rsid w:val="00DF47B0"/>
    <w:rsid w:val="00E035FE"/>
    <w:rsid w:val="00E0587B"/>
    <w:rsid w:val="00E07E56"/>
    <w:rsid w:val="00E228AC"/>
    <w:rsid w:val="00E32858"/>
    <w:rsid w:val="00E34B3B"/>
    <w:rsid w:val="00E35192"/>
    <w:rsid w:val="00E40B86"/>
    <w:rsid w:val="00E41E15"/>
    <w:rsid w:val="00E42FCA"/>
    <w:rsid w:val="00E50B38"/>
    <w:rsid w:val="00E55712"/>
    <w:rsid w:val="00E56D86"/>
    <w:rsid w:val="00E56EF6"/>
    <w:rsid w:val="00E57E44"/>
    <w:rsid w:val="00E7117F"/>
    <w:rsid w:val="00E74087"/>
    <w:rsid w:val="00E754F7"/>
    <w:rsid w:val="00E7715E"/>
    <w:rsid w:val="00E9035F"/>
    <w:rsid w:val="00E91079"/>
    <w:rsid w:val="00E950AB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E58FD"/>
    <w:rsid w:val="00EE5E9B"/>
    <w:rsid w:val="00EF19D8"/>
    <w:rsid w:val="00EF3654"/>
    <w:rsid w:val="00F0442B"/>
    <w:rsid w:val="00F044B4"/>
    <w:rsid w:val="00F069E5"/>
    <w:rsid w:val="00F07B0A"/>
    <w:rsid w:val="00F14205"/>
    <w:rsid w:val="00F15639"/>
    <w:rsid w:val="00F23572"/>
    <w:rsid w:val="00F321C5"/>
    <w:rsid w:val="00F3345D"/>
    <w:rsid w:val="00F347C6"/>
    <w:rsid w:val="00F3593A"/>
    <w:rsid w:val="00F378D8"/>
    <w:rsid w:val="00F37F1E"/>
    <w:rsid w:val="00F43503"/>
    <w:rsid w:val="00F43736"/>
    <w:rsid w:val="00F51B88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2F08"/>
    <w:rsid w:val="00F9495E"/>
    <w:rsid w:val="00F9638C"/>
    <w:rsid w:val="00FA2242"/>
    <w:rsid w:val="00FA3064"/>
    <w:rsid w:val="00FA5484"/>
    <w:rsid w:val="00FA64DC"/>
    <w:rsid w:val="00FB2BDF"/>
    <w:rsid w:val="00FB3B6E"/>
    <w:rsid w:val="00FB5179"/>
    <w:rsid w:val="00FC2507"/>
    <w:rsid w:val="00FD331B"/>
    <w:rsid w:val="00FE0E59"/>
    <w:rsid w:val="00FE3FA8"/>
    <w:rsid w:val="00FE4989"/>
    <w:rsid w:val="00FE4FA5"/>
    <w:rsid w:val="00FE61CF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20B066F8-6C33-4631-9F1D-8E598FD8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pn/wssk_wroclaw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mailto:zp@wssk.wroc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5AF814-85C4-462A-BBED-7593482A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21</Pages>
  <Words>10018</Words>
  <Characters>60110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Henczel Anna</cp:lastModifiedBy>
  <cp:revision>42</cp:revision>
  <cp:lastPrinted>2025-05-08T07:07:00Z</cp:lastPrinted>
  <dcterms:created xsi:type="dcterms:W3CDTF">2023-04-04T08:58:00Z</dcterms:created>
  <dcterms:modified xsi:type="dcterms:W3CDTF">2025-05-14T08:14:00Z</dcterms:modified>
</cp:coreProperties>
</file>