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2D9D9" w14:textId="77777777" w:rsidR="006F3938" w:rsidRDefault="005272B5">
      <w:pPr>
        <w:pStyle w:val="Nagwek1"/>
      </w:pPr>
      <w:r>
        <w:t>Wyjaśnienia specyfikacji warunków</w:t>
      </w:r>
    </w:p>
    <w:p w14:paraId="333C0943" w14:textId="77777777" w:rsidR="006F3938" w:rsidRDefault="005272B5">
      <w:pPr>
        <w:pStyle w:val="Nagwek1"/>
      </w:pPr>
      <w:r>
        <w:t>zamówienia.</w:t>
      </w:r>
    </w:p>
    <w:p w14:paraId="213C285B" w14:textId="77777777" w:rsidR="006F3938" w:rsidRDefault="005272B5">
      <w:pPr>
        <w:pStyle w:val="Textbody"/>
      </w:pPr>
      <w:r>
        <w:t>Nasz znak ZP.271.5.2025</w:t>
      </w:r>
    </w:p>
    <w:p w14:paraId="1BE4FCCF" w14:textId="72308745" w:rsidR="006F3938" w:rsidRDefault="005272B5">
      <w:pPr>
        <w:pStyle w:val="Textbody"/>
      </w:pPr>
      <w:r>
        <w:t xml:space="preserve">Nowy Targ </w:t>
      </w:r>
      <w:r w:rsidR="00B6628A">
        <w:t>31</w:t>
      </w:r>
      <w:r>
        <w:t>.03.2025r.</w:t>
      </w:r>
    </w:p>
    <w:p w14:paraId="3AC34B32" w14:textId="77777777" w:rsidR="006F3938" w:rsidRDefault="006F3938">
      <w:pPr>
        <w:pStyle w:val="Textbody"/>
      </w:pPr>
    </w:p>
    <w:p w14:paraId="71288744" w14:textId="77777777" w:rsidR="006F3938" w:rsidRDefault="005272B5">
      <w:pPr>
        <w:pStyle w:val="Standard"/>
        <w:jc w:val="both"/>
      </w:pPr>
      <w:r>
        <w:rPr>
          <w:b/>
          <w:bCs/>
        </w:rPr>
        <w:t>Dotyczy: postępowania w trybie podstawowym na b</w:t>
      </w:r>
      <w:r>
        <w:rPr>
          <w:rStyle w:val="Teksttreci0"/>
          <w:rFonts w:ascii="Times New Roman" w:hAnsi="Times New Roman"/>
          <w:b/>
          <w:bCs/>
          <w:sz w:val="24"/>
          <w:szCs w:val="24"/>
          <w:lang w:eastAsia="pl-PL"/>
        </w:rPr>
        <w:t>udowę sali gimnastycznej przy Szkole Podstawowej nr 11 w Nowym Targu.</w:t>
      </w:r>
    </w:p>
    <w:p w14:paraId="3ADA2E32" w14:textId="77777777" w:rsidR="006F3938" w:rsidRDefault="006F3938">
      <w:pPr>
        <w:pStyle w:val="Standard"/>
        <w:jc w:val="both"/>
      </w:pPr>
    </w:p>
    <w:p w14:paraId="5F2AFC9E" w14:textId="77777777" w:rsidR="006F3938" w:rsidRDefault="005272B5">
      <w:pPr>
        <w:pStyle w:val="Standard"/>
        <w:jc w:val="both"/>
      </w:pPr>
      <w:r>
        <w:tab/>
        <w:t xml:space="preserve">Zamawiający na podstawie art. 284 ustawy z dnia 11 września 2019r. Prawo zamówień publicznych (tekst jednolity </w:t>
      </w:r>
      <w:r>
        <w:rPr>
          <w:color w:val="000000"/>
        </w:rPr>
        <w:t>Dz. U. z 2024 r. poz. 1320</w:t>
      </w:r>
      <w:r>
        <w:t>) udziela wyjaśnienia specyfikacji warunków zamówienia w niniejszym postępowaniu. Wyjaśnienie udostępnia się na stronie internetowej. Niniejsze wyjaśnienie specyfikacji warunków zamówienia jest wiążące.</w:t>
      </w:r>
    </w:p>
    <w:p w14:paraId="0F2A2C0B" w14:textId="77777777" w:rsidR="006F3938" w:rsidRDefault="006F3938">
      <w:pPr>
        <w:pStyle w:val="Standard"/>
        <w:jc w:val="both"/>
      </w:pPr>
    </w:p>
    <w:p w14:paraId="5FE85206" w14:textId="77777777" w:rsidR="006F3938" w:rsidRDefault="005272B5">
      <w:pPr>
        <w:pStyle w:val="Standard"/>
        <w:jc w:val="both"/>
      </w:pPr>
      <w:r>
        <w:rPr>
          <w:rStyle w:val="Teksttreci0"/>
          <w:rFonts w:ascii="Times New Roman" w:hAnsi="Times New Roman"/>
          <w:sz w:val="24"/>
          <w:szCs w:val="24"/>
        </w:rPr>
        <w:t>Pytanie nr 1</w:t>
      </w:r>
    </w:p>
    <w:p w14:paraId="67F5C4FD" w14:textId="77777777"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Prosimy uprzejmie o odniesienie do pytań i odpowiedzi nr 14 SWZ z dnia 20.04.2025:</w:t>
      </w:r>
    </w:p>
    <w:p w14:paraId="5B12F481" w14:textId="77777777" w:rsidR="0039695F" w:rsidRDefault="0039695F" w:rsidP="00F56B78">
      <w:pPr>
        <w:pStyle w:val="Standard"/>
        <w:jc w:val="both"/>
        <w:rPr>
          <w:rStyle w:val="Teksttreci0"/>
          <w:rFonts w:ascii="Times New Roman" w:hAnsi="Times New Roman"/>
          <w:sz w:val="24"/>
          <w:szCs w:val="24"/>
        </w:rPr>
      </w:pPr>
    </w:p>
    <w:p w14:paraId="5A92FDE4" w14:textId="2B9DAD6D"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 xml:space="preserve">Zgodnie z art. 16 pkt 1) ustawy z dnia 11 września 2019 r. Prawo zamówień publicznych (tj. Dz.U. 2023. 1605 ze zm.), zwanej dalej </w:t>
      </w:r>
      <w:proofErr w:type="spellStart"/>
      <w:r w:rsidRPr="00F56B78">
        <w:rPr>
          <w:rStyle w:val="Teksttreci0"/>
          <w:rFonts w:ascii="Times New Roman" w:hAnsi="Times New Roman"/>
          <w:sz w:val="24"/>
          <w:szCs w:val="24"/>
        </w:rPr>
        <w:t>Pzp</w:t>
      </w:r>
      <w:proofErr w:type="spellEnd"/>
      <w:r w:rsidRPr="00F56B78">
        <w:rPr>
          <w:rStyle w:val="Teksttreci0"/>
          <w:rFonts w:ascii="Times New Roman" w:hAnsi="Times New Roman"/>
          <w:sz w:val="24"/>
          <w:szCs w:val="24"/>
        </w:rPr>
        <w:t xml:space="preserve"> lub Ustawą, Zamawiający przygotowuje i przeprowadza postępowanie o udzielenie zamówienia w sposób zapewniający zachowanie uczciwej konkurencji oraz równe traktowanie wykonawców. Niniejsze postępowanie o udzielenie zamówienia prowadzone jest w trybie otwartym, tj. w trybie przetargu nieograniczonego/trybie podstawowym. Cechą charakterystyczną tego trybu jest możliwość złożenia oferty przez każdego zainteresowanego realizacją umowy wykonawcę w odpowiedzi na publiczne ogłoszenie o zamówieniu. W związku z tym, iż tryb ten jest w pełni trybem otwartym, każde ograniczenie dostępu do zamówienia, wskutek zastosowania przez zamawiającego warunków zamówienia ograniczających realne złożenie oferty, należy uznać za niedopuszczalne. O fakcie tym świadczą poniższe argumenty.</w:t>
      </w:r>
    </w:p>
    <w:p w14:paraId="4B66D5E5" w14:textId="77777777" w:rsidR="0039695F" w:rsidRDefault="0039695F" w:rsidP="00F56B78">
      <w:pPr>
        <w:pStyle w:val="Standard"/>
        <w:jc w:val="both"/>
        <w:rPr>
          <w:rStyle w:val="Teksttreci0"/>
          <w:rFonts w:ascii="Times New Roman" w:hAnsi="Times New Roman"/>
          <w:sz w:val="24"/>
          <w:szCs w:val="24"/>
        </w:rPr>
      </w:pPr>
    </w:p>
    <w:p w14:paraId="542307D1" w14:textId="013AE4C4"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 xml:space="preserve">Wykonawca podkreśla przede wszystkim, że zgodnie z zasadą uczciwej konkurencji wskazaną powyżej, m.in. opis przedmiotu zamówienia musi zostać tak sporządzony przez Zamawiającego, aby wykonawcy zamierzający wziąć udział w postępowaniu mogli złożyć skutecznie ofertę i ze sobą konkurować. W efekcie, obowiązkiem Zamawiającego jest takie sporządzenie opisu przedmiotu zamówienia, który nie dyskryminuje wykonawców, którzy mogliby zrealizować przedmiot zamówienia zaoferowanymi przez siebie produktami, ale w praktyce jest to niemożliwe, gdyż opis przedmiotu zamówienia wyłącza konkurencję, tj. wskazuje na możliwość realizacji zamówienia przez konkretnego wykonawcę lub zastosowania przez niego konkretnego produktu. W konsekwencji, konkurencja w ogóle nie istnieje, ponieważ wykonawcy mogą zaoferować wyłącznie jeden produkt, wskazany zapisami OPZ. Opisanie przedmiotu zamówienia w taki sposób, iż możliwym jest zastosowanie konkretnego wyrobu czy też materiału, który ma zostać zastosowany przez wykonawcę stanowi wprost naruszenie art. 99 ust. 4 </w:t>
      </w:r>
      <w:proofErr w:type="spellStart"/>
      <w:r w:rsidRPr="00F56B78">
        <w:rPr>
          <w:rStyle w:val="Teksttreci0"/>
          <w:rFonts w:ascii="Times New Roman" w:hAnsi="Times New Roman"/>
          <w:sz w:val="24"/>
          <w:szCs w:val="24"/>
        </w:rPr>
        <w:t>Pzp</w:t>
      </w:r>
      <w:proofErr w:type="spellEnd"/>
      <w:r w:rsidRPr="00F56B78">
        <w:rPr>
          <w:rStyle w:val="Teksttreci0"/>
          <w:rFonts w:ascii="Times New Roman" w:hAnsi="Times New Roman"/>
          <w:sz w:val="24"/>
          <w:szCs w:val="24"/>
        </w:rPr>
        <w:t xml:space="preserve">. Zgodnie z tym przepisem,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Cel regulacji wskazany w art. 99 ust. 4 </w:t>
      </w:r>
      <w:proofErr w:type="spellStart"/>
      <w:r w:rsidRPr="00F56B78">
        <w:rPr>
          <w:rStyle w:val="Teksttreci0"/>
          <w:rFonts w:ascii="Times New Roman" w:hAnsi="Times New Roman"/>
          <w:sz w:val="24"/>
          <w:szCs w:val="24"/>
        </w:rPr>
        <w:t>Pzp</w:t>
      </w:r>
      <w:proofErr w:type="spellEnd"/>
      <w:r w:rsidRPr="00F56B78">
        <w:rPr>
          <w:rStyle w:val="Teksttreci0"/>
          <w:rFonts w:ascii="Times New Roman" w:hAnsi="Times New Roman"/>
          <w:sz w:val="24"/>
          <w:szCs w:val="24"/>
        </w:rPr>
        <w:t xml:space="preserve"> można zdefiniować, posługując się motywem 74 preambuły dyrektywy klasycznej, gdzie wskazano, że „specyfikacje techniczne [opis przedmiotu zamówienia] powinny być opracowywane w taki sposób, aby uniknąć sztucznego zawężania konkurencji poprzez wymogi, które faworyzują konkretnego </w:t>
      </w:r>
      <w:r w:rsidRPr="00F56B78">
        <w:rPr>
          <w:rStyle w:val="Teksttreci0"/>
          <w:rFonts w:ascii="Times New Roman" w:hAnsi="Times New Roman"/>
          <w:sz w:val="24"/>
          <w:szCs w:val="24"/>
        </w:rPr>
        <w:lastRenderedPageBreak/>
        <w:t xml:space="preserve">wykonawcę, odzwierciedlając kluczowe cechy dostaw, usług lub robót budowlanych oferowanych zwykle przez tego wykonawcę”. Niedopuszczalne jest zatem w świetle art. 99 ust. 4 </w:t>
      </w:r>
      <w:proofErr w:type="spellStart"/>
      <w:r w:rsidRPr="00F56B78">
        <w:rPr>
          <w:rStyle w:val="Teksttreci0"/>
          <w:rFonts w:ascii="Times New Roman" w:hAnsi="Times New Roman"/>
          <w:sz w:val="24"/>
          <w:szCs w:val="24"/>
        </w:rPr>
        <w:t>Pzp</w:t>
      </w:r>
      <w:proofErr w:type="spellEnd"/>
      <w:r w:rsidRPr="00F56B78">
        <w:rPr>
          <w:rStyle w:val="Teksttreci0"/>
          <w:rFonts w:ascii="Times New Roman" w:hAnsi="Times New Roman"/>
          <w:sz w:val="24"/>
          <w:szCs w:val="24"/>
        </w:rPr>
        <w:t xml:space="preserve"> zaburzenie konkurencji pomiędzy wykonawcami, mające swoją genezę w przygotowanym opisie przedmiotu zamówienia, polegające albo na preferencji w opisie konkretnego wykonawcy lub produktu, albo na niemającym uzasadnieniu wyeliminowaniu wykonawcy lub produktu. Poprzez niedopuszczalne preferowanie należy rozumieć wszystkie zabiegi, przy użyciu dowolnych sposobów opisu przedmiotu zamówienia, które w sposób nieuzasadniony preferują lub wprost wskazują na konkretnego wykonawcę lub konkretny produkt. Skutkiem takiego zapisu jest niemożność złożenia oferty zgodnej z tak sformułowanym opisem przedmiotu zamówienia przez wykonawcę innego niż preferowany lub zaproponowania innego niż preferowany produkt.</w:t>
      </w:r>
    </w:p>
    <w:p w14:paraId="06238573" w14:textId="77777777" w:rsidR="0039695F" w:rsidRDefault="0039695F" w:rsidP="00F56B78">
      <w:pPr>
        <w:pStyle w:val="Standard"/>
        <w:jc w:val="both"/>
        <w:rPr>
          <w:rStyle w:val="Teksttreci0"/>
          <w:rFonts w:ascii="Times New Roman" w:hAnsi="Times New Roman"/>
          <w:sz w:val="24"/>
          <w:szCs w:val="24"/>
        </w:rPr>
      </w:pPr>
    </w:p>
    <w:p w14:paraId="5EEFBDA8" w14:textId="43288FDA"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W toczącym się postępowaniu o udzielenie zamówienia opis przedmiotu zamówienia wymaga posiadania przez oferowaną wykładzinę sportową m.in.</w:t>
      </w:r>
    </w:p>
    <w:p w14:paraId="2B83CEB5" w14:textId="2E3F7B5F"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w:t>
      </w:r>
      <w:r w:rsidR="0039695F">
        <w:rPr>
          <w:rStyle w:val="Teksttreci0"/>
          <w:rFonts w:ascii="Times New Roman" w:hAnsi="Times New Roman"/>
          <w:sz w:val="24"/>
          <w:szCs w:val="24"/>
        </w:rPr>
        <w:t xml:space="preserve"> </w:t>
      </w:r>
      <w:r w:rsidRPr="00F56B78">
        <w:rPr>
          <w:rStyle w:val="Teksttreci0"/>
          <w:rFonts w:ascii="Times New Roman" w:hAnsi="Times New Roman"/>
          <w:sz w:val="24"/>
          <w:szCs w:val="24"/>
        </w:rPr>
        <w:t>aż 5-ciu certyfikatów różnych federacji sportowych, w tym FIVB,</w:t>
      </w:r>
    </w:p>
    <w:p w14:paraId="10DEC6AA" w14:textId="68AB8418"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w:t>
      </w:r>
      <w:r w:rsidR="0039695F">
        <w:rPr>
          <w:rStyle w:val="Teksttreci0"/>
          <w:rFonts w:ascii="Times New Roman" w:hAnsi="Times New Roman"/>
          <w:sz w:val="24"/>
          <w:szCs w:val="24"/>
        </w:rPr>
        <w:t xml:space="preserve"> </w:t>
      </w:r>
      <w:r w:rsidRPr="00F56B78">
        <w:rPr>
          <w:rStyle w:val="Teksttreci0"/>
          <w:rFonts w:ascii="Times New Roman" w:hAnsi="Times New Roman"/>
          <w:sz w:val="24"/>
          <w:szCs w:val="24"/>
        </w:rPr>
        <w:t>absorbcja uderzeń max. P1</w:t>
      </w:r>
    </w:p>
    <w:p w14:paraId="12B687E6" w14:textId="77777777" w:rsidR="0039695F" w:rsidRDefault="0039695F" w:rsidP="00F56B78">
      <w:pPr>
        <w:pStyle w:val="Standard"/>
        <w:jc w:val="both"/>
        <w:rPr>
          <w:rStyle w:val="Teksttreci0"/>
          <w:rFonts w:ascii="Times New Roman" w:hAnsi="Times New Roman"/>
          <w:sz w:val="24"/>
          <w:szCs w:val="24"/>
        </w:rPr>
      </w:pPr>
    </w:p>
    <w:p w14:paraId="15070F78" w14:textId="3E59B661"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 xml:space="preserve">Takie wymogi powodują, iż Zamawiający wprost określa konkretny produkt, który jako jedyny może zostać zastosowany przez wykonawcę – wykładzinę sportową </w:t>
      </w:r>
      <w:proofErr w:type="spellStart"/>
      <w:r w:rsidRPr="00F56B78">
        <w:rPr>
          <w:rStyle w:val="Teksttreci0"/>
          <w:rFonts w:ascii="Times New Roman" w:hAnsi="Times New Roman"/>
          <w:sz w:val="24"/>
          <w:szCs w:val="24"/>
        </w:rPr>
        <w:t>Taraflex</w:t>
      </w:r>
      <w:proofErr w:type="spellEnd"/>
      <w:r w:rsidRPr="00F56B78">
        <w:rPr>
          <w:rStyle w:val="Teksttreci0"/>
          <w:rFonts w:ascii="Times New Roman" w:hAnsi="Times New Roman"/>
          <w:sz w:val="24"/>
          <w:szCs w:val="24"/>
        </w:rPr>
        <w:t xml:space="preserve"> </w:t>
      </w:r>
      <w:proofErr w:type="spellStart"/>
      <w:r w:rsidRPr="00F56B78">
        <w:rPr>
          <w:rStyle w:val="Teksttreci0"/>
          <w:rFonts w:ascii="Times New Roman" w:hAnsi="Times New Roman"/>
          <w:sz w:val="24"/>
          <w:szCs w:val="24"/>
        </w:rPr>
        <w:t>Evolution</w:t>
      </w:r>
      <w:proofErr w:type="spellEnd"/>
      <w:r w:rsidRPr="00F56B78">
        <w:rPr>
          <w:rStyle w:val="Teksttreci0"/>
          <w:rFonts w:ascii="Times New Roman" w:hAnsi="Times New Roman"/>
          <w:sz w:val="24"/>
          <w:szCs w:val="24"/>
        </w:rPr>
        <w:t xml:space="preserve"> marki </w:t>
      </w:r>
      <w:proofErr w:type="spellStart"/>
      <w:r w:rsidRPr="00F56B78">
        <w:rPr>
          <w:rStyle w:val="Teksttreci0"/>
          <w:rFonts w:ascii="Times New Roman" w:hAnsi="Times New Roman"/>
          <w:sz w:val="24"/>
          <w:szCs w:val="24"/>
        </w:rPr>
        <w:t>Gerflor</w:t>
      </w:r>
      <w:proofErr w:type="spellEnd"/>
      <w:r w:rsidRPr="00F56B78">
        <w:rPr>
          <w:rStyle w:val="Teksttreci0"/>
          <w:rFonts w:ascii="Times New Roman" w:hAnsi="Times New Roman"/>
          <w:sz w:val="24"/>
          <w:szCs w:val="24"/>
        </w:rPr>
        <w:t>. Zamawiający opisując przedmiot zamówienia powinien samodzielnie pozyskać wiedzę dotyczącą</w:t>
      </w:r>
      <w:r w:rsidR="0039695F">
        <w:rPr>
          <w:rStyle w:val="Teksttreci0"/>
          <w:rFonts w:ascii="Times New Roman" w:hAnsi="Times New Roman"/>
          <w:sz w:val="24"/>
          <w:szCs w:val="24"/>
        </w:rPr>
        <w:t xml:space="preserve"> </w:t>
      </w:r>
      <w:r w:rsidRPr="00F56B78">
        <w:rPr>
          <w:rStyle w:val="Teksttreci0"/>
          <w:rFonts w:ascii="Times New Roman" w:hAnsi="Times New Roman"/>
          <w:sz w:val="24"/>
          <w:szCs w:val="24"/>
        </w:rPr>
        <w:t xml:space="preserve">każdego z użytych do opisu przedmiotu zamówienia materiałów, nawet gdy sporządzanie takiego opisu zleca podmiotowi zewnętrznemu i wyeliminować takie sformułowania lub wymogi, które naruszają zakaz wynikający z treści art. 99 ust. 4 </w:t>
      </w:r>
      <w:proofErr w:type="spellStart"/>
      <w:r w:rsidRPr="00F56B78">
        <w:rPr>
          <w:rStyle w:val="Teksttreci0"/>
          <w:rFonts w:ascii="Times New Roman" w:hAnsi="Times New Roman"/>
          <w:sz w:val="24"/>
          <w:szCs w:val="24"/>
        </w:rPr>
        <w:t>Pzp</w:t>
      </w:r>
      <w:proofErr w:type="spellEnd"/>
      <w:r w:rsidRPr="00F56B78">
        <w:rPr>
          <w:rStyle w:val="Teksttreci0"/>
          <w:rFonts w:ascii="Times New Roman" w:hAnsi="Times New Roman"/>
          <w:sz w:val="24"/>
          <w:szCs w:val="24"/>
        </w:rPr>
        <w:t>.</w:t>
      </w:r>
    </w:p>
    <w:p w14:paraId="295F4DA1" w14:textId="77777777" w:rsidR="0039695F" w:rsidRDefault="0039695F" w:rsidP="00F56B78">
      <w:pPr>
        <w:pStyle w:val="Standard"/>
        <w:jc w:val="both"/>
        <w:rPr>
          <w:rStyle w:val="Teksttreci0"/>
          <w:rFonts w:ascii="Times New Roman" w:hAnsi="Times New Roman"/>
          <w:sz w:val="24"/>
          <w:szCs w:val="24"/>
        </w:rPr>
      </w:pPr>
    </w:p>
    <w:p w14:paraId="4AE9364D" w14:textId="7F88422A"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 xml:space="preserve">Wykonawca zakłada, że Zamawiający mógł nie mieć wystarczającej wiedzy w tym zakresie na etapie przygotowywania postępowania lub zostać wprowadzony w błąd treścią przygotowanego opisu przedmiotu zamówienia. Stąd niniejszym informuję, że jedynym na rynku podłóg sportowych produktem w stosunku, do którego został wydany certyfikat FIVB jest wykładzina sportowa </w:t>
      </w:r>
      <w:proofErr w:type="spellStart"/>
      <w:r w:rsidRPr="00F56B78">
        <w:rPr>
          <w:rStyle w:val="Teksttreci0"/>
          <w:rFonts w:ascii="Times New Roman" w:hAnsi="Times New Roman"/>
          <w:sz w:val="24"/>
          <w:szCs w:val="24"/>
        </w:rPr>
        <w:t>Taraflex</w:t>
      </w:r>
      <w:proofErr w:type="spellEnd"/>
      <w:r w:rsidRPr="00F56B78">
        <w:rPr>
          <w:rStyle w:val="Teksttreci0"/>
          <w:rFonts w:ascii="Times New Roman" w:hAnsi="Times New Roman"/>
          <w:sz w:val="24"/>
          <w:szCs w:val="24"/>
        </w:rPr>
        <w:t xml:space="preserve"> </w:t>
      </w:r>
      <w:proofErr w:type="spellStart"/>
      <w:r w:rsidRPr="00F56B78">
        <w:rPr>
          <w:rStyle w:val="Teksttreci0"/>
          <w:rFonts w:ascii="Times New Roman" w:hAnsi="Times New Roman"/>
          <w:sz w:val="24"/>
          <w:szCs w:val="24"/>
        </w:rPr>
        <w:t>Evolution</w:t>
      </w:r>
      <w:proofErr w:type="spellEnd"/>
      <w:r w:rsidRPr="00F56B78">
        <w:rPr>
          <w:rStyle w:val="Teksttreci0"/>
          <w:rFonts w:ascii="Times New Roman" w:hAnsi="Times New Roman"/>
          <w:sz w:val="24"/>
          <w:szCs w:val="24"/>
        </w:rPr>
        <w:t xml:space="preserve"> marki </w:t>
      </w:r>
      <w:proofErr w:type="spellStart"/>
      <w:r w:rsidRPr="00F56B78">
        <w:rPr>
          <w:rStyle w:val="Teksttreci0"/>
          <w:rFonts w:ascii="Times New Roman" w:hAnsi="Times New Roman"/>
          <w:sz w:val="24"/>
          <w:szCs w:val="24"/>
        </w:rPr>
        <w:t>Gerflor</w:t>
      </w:r>
      <w:proofErr w:type="spellEnd"/>
      <w:r w:rsidRPr="00F56B78">
        <w:rPr>
          <w:rStyle w:val="Teksttreci0"/>
          <w:rFonts w:ascii="Times New Roman" w:hAnsi="Times New Roman"/>
          <w:sz w:val="24"/>
          <w:szCs w:val="24"/>
        </w:rPr>
        <w:t xml:space="preserve"> i nie istnieje żadna inna wykładzina sportowa, która może zostać zaoferowana przez wykonawców w jej miejsce.</w:t>
      </w:r>
    </w:p>
    <w:p w14:paraId="6FD4FB4A" w14:textId="77777777"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 xml:space="preserve">Wykonawca podkreśla również, że konsekwencją zastosowania w opisie przedmiotu zamówienia konkretnego produktu, który nie posiada swojego odpowiednika, jest zmuszenie każdego z wykonawców do zaoferowania jednego dopuszczonego przez Zamawiającego produktu, co w konsekwencji powinno być uznane za celowe faworyzowanie konkretnego rozwiązania materiałowego/technologicznego. Prowadzi to wprost do wady opisu przedmiotu zamówienia, naruszając zakaz wynikający z art. 99 ust, 4 </w:t>
      </w:r>
      <w:proofErr w:type="spellStart"/>
      <w:r w:rsidRPr="00F56B78">
        <w:rPr>
          <w:rStyle w:val="Teksttreci0"/>
          <w:rFonts w:ascii="Times New Roman" w:hAnsi="Times New Roman"/>
          <w:sz w:val="24"/>
          <w:szCs w:val="24"/>
        </w:rPr>
        <w:t>Pzp</w:t>
      </w:r>
      <w:proofErr w:type="spellEnd"/>
      <w:r w:rsidRPr="00F56B78">
        <w:rPr>
          <w:rStyle w:val="Teksttreci0"/>
          <w:rFonts w:ascii="Times New Roman" w:hAnsi="Times New Roman"/>
          <w:sz w:val="24"/>
          <w:szCs w:val="24"/>
        </w:rPr>
        <w:t xml:space="preserve">. Co ważne, do stwierdzenia nieprawidłowości w opisie przedmiotu zamówienia, a tym samym sprzeczności z prawem, wystarczy jedynie zaistnienie możliwości utrudniania uczciwej konkurencji poprzez zastosowanie określonych zapisów OPZ, niekoniecznie zaś realnego uniemożliwienia konkurencji. Skoro Zamawiający w sposób całkowicie nieuprawniony wyeliminował możliwość zaoferowania innego produktu niż wykładzina sportowa </w:t>
      </w:r>
      <w:proofErr w:type="spellStart"/>
      <w:r w:rsidRPr="00F56B78">
        <w:rPr>
          <w:rStyle w:val="Teksttreci0"/>
          <w:rFonts w:ascii="Times New Roman" w:hAnsi="Times New Roman"/>
          <w:sz w:val="24"/>
          <w:szCs w:val="24"/>
        </w:rPr>
        <w:t>Taraflex</w:t>
      </w:r>
      <w:proofErr w:type="spellEnd"/>
      <w:r w:rsidRPr="00F56B78">
        <w:rPr>
          <w:rStyle w:val="Teksttreci0"/>
          <w:rFonts w:ascii="Times New Roman" w:hAnsi="Times New Roman"/>
          <w:sz w:val="24"/>
          <w:szCs w:val="24"/>
        </w:rPr>
        <w:t xml:space="preserve"> </w:t>
      </w:r>
      <w:proofErr w:type="spellStart"/>
      <w:r w:rsidRPr="00F56B78">
        <w:rPr>
          <w:rStyle w:val="Teksttreci0"/>
          <w:rFonts w:ascii="Times New Roman" w:hAnsi="Times New Roman"/>
          <w:sz w:val="24"/>
          <w:szCs w:val="24"/>
        </w:rPr>
        <w:t>Evolution</w:t>
      </w:r>
      <w:proofErr w:type="spellEnd"/>
      <w:r w:rsidRPr="00F56B78">
        <w:rPr>
          <w:rStyle w:val="Teksttreci0"/>
          <w:rFonts w:ascii="Times New Roman" w:hAnsi="Times New Roman"/>
          <w:sz w:val="24"/>
          <w:szCs w:val="24"/>
        </w:rPr>
        <w:t xml:space="preserve"> marki </w:t>
      </w:r>
      <w:proofErr w:type="spellStart"/>
      <w:r w:rsidRPr="00F56B78">
        <w:rPr>
          <w:rStyle w:val="Teksttreci0"/>
          <w:rFonts w:ascii="Times New Roman" w:hAnsi="Times New Roman"/>
          <w:sz w:val="24"/>
          <w:szCs w:val="24"/>
        </w:rPr>
        <w:t>Gerflor</w:t>
      </w:r>
      <w:proofErr w:type="spellEnd"/>
      <w:r w:rsidRPr="00F56B78">
        <w:rPr>
          <w:rStyle w:val="Teksttreci0"/>
          <w:rFonts w:ascii="Times New Roman" w:hAnsi="Times New Roman"/>
          <w:sz w:val="24"/>
          <w:szCs w:val="24"/>
        </w:rPr>
        <w:t>, należy uznać, że nie tylko utrudnił uczciwą konkurencję, ale w praktyce ja wyłączył.</w:t>
      </w:r>
    </w:p>
    <w:p w14:paraId="3CEF4A9B" w14:textId="77777777" w:rsidR="0039695F" w:rsidRDefault="0039695F" w:rsidP="00F56B78">
      <w:pPr>
        <w:pStyle w:val="Standard"/>
        <w:jc w:val="both"/>
        <w:rPr>
          <w:rStyle w:val="Teksttreci0"/>
          <w:rFonts w:ascii="Times New Roman" w:hAnsi="Times New Roman"/>
          <w:sz w:val="24"/>
          <w:szCs w:val="24"/>
        </w:rPr>
      </w:pPr>
    </w:p>
    <w:p w14:paraId="58B9457C" w14:textId="4831E371"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 xml:space="preserve">Wykonawca ponadto wskazuje, że Zamawiający opisem przedmiotu zamówienia nie wykazał, iż zastosowanie wykładziny sportowej, w stosunku do której został wydany certyfikat FIVB, tj. produktu </w:t>
      </w:r>
      <w:proofErr w:type="spellStart"/>
      <w:r w:rsidRPr="00F56B78">
        <w:rPr>
          <w:rStyle w:val="Teksttreci0"/>
          <w:rFonts w:ascii="Times New Roman" w:hAnsi="Times New Roman"/>
          <w:sz w:val="24"/>
          <w:szCs w:val="24"/>
        </w:rPr>
        <w:t>Taraflex</w:t>
      </w:r>
      <w:proofErr w:type="spellEnd"/>
      <w:r w:rsidRPr="00F56B78">
        <w:rPr>
          <w:rStyle w:val="Teksttreci0"/>
          <w:rFonts w:ascii="Times New Roman" w:hAnsi="Times New Roman"/>
          <w:sz w:val="24"/>
          <w:szCs w:val="24"/>
        </w:rPr>
        <w:t xml:space="preserve"> </w:t>
      </w:r>
      <w:proofErr w:type="spellStart"/>
      <w:r w:rsidRPr="00F56B78">
        <w:rPr>
          <w:rStyle w:val="Teksttreci0"/>
          <w:rFonts w:ascii="Times New Roman" w:hAnsi="Times New Roman"/>
          <w:sz w:val="24"/>
          <w:szCs w:val="24"/>
        </w:rPr>
        <w:t>Evolution</w:t>
      </w:r>
      <w:proofErr w:type="spellEnd"/>
      <w:r w:rsidRPr="00F56B78">
        <w:rPr>
          <w:rStyle w:val="Teksttreci0"/>
          <w:rFonts w:ascii="Times New Roman" w:hAnsi="Times New Roman"/>
          <w:sz w:val="24"/>
          <w:szCs w:val="24"/>
        </w:rPr>
        <w:t xml:space="preserve"> marki </w:t>
      </w:r>
      <w:proofErr w:type="spellStart"/>
      <w:r w:rsidRPr="00F56B78">
        <w:rPr>
          <w:rStyle w:val="Teksttreci0"/>
          <w:rFonts w:ascii="Times New Roman" w:hAnsi="Times New Roman"/>
          <w:sz w:val="24"/>
          <w:szCs w:val="24"/>
        </w:rPr>
        <w:t>Gerflor</w:t>
      </w:r>
      <w:proofErr w:type="spellEnd"/>
      <w:r w:rsidRPr="00F56B78">
        <w:rPr>
          <w:rStyle w:val="Teksttreci0"/>
          <w:rFonts w:ascii="Times New Roman" w:hAnsi="Times New Roman"/>
          <w:sz w:val="24"/>
          <w:szCs w:val="24"/>
        </w:rPr>
        <w:t>, uwzględnia uzasadnione jego potrzeby, a co za tym idzie również w tym kontekście Wykonawca podkreśla, że zastosowany zapis ma jedynie na celu wyłączenie konkurencji i nieuzasadnione preferowanie konkretnego produktu, wbrew zakazowi wskazanemu w Ustawie.</w:t>
      </w:r>
    </w:p>
    <w:p w14:paraId="56AB8CC6" w14:textId="77777777"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lastRenderedPageBreak/>
        <w:t>Mając powyższe na uwadze, Wykonawca na podstawie art. 135 ust. 1 Pzp1 / 284 ust. 1 Pzp2 zwraca się do Zamawiającego z wnioskiem o wyjaśnienie treści SWZ, w szczególności Wyjaśnienia do SIWZ nr. 14 stanowiącego opis przedmiotu zamówienia, w poniższym zakresie:</w:t>
      </w:r>
    </w:p>
    <w:p w14:paraId="7092B24C" w14:textId="084A3142"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1.</w:t>
      </w:r>
      <w:r w:rsidR="0039695F">
        <w:rPr>
          <w:rStyle w:val="Teksttreci0"/>
          <w:rFonts w:ascii="Times New Roman" w:hAnsi="Times New Roman"/>
          <w:sz w:val="24"/>
          <w:szCs w:val="24"/>
        </w:rPr>
        <w:t xml:space="preserve"> </w:t>
      </w:r>
      <w:r w:rsidRPr="00F56B78">
        <w:rPr>
          <w:rStyle w:val="Teksttreci0"/>
          <w:rFonts w:ascii="Times New Roman" w:hAnsi="Times New Roman"/>
          <w:sz w:val="24"/>
          <w:szCs w:val="24"/>
        </w:rPr>
        <w:t xml:space="preserve">Dlaczego Zamawiający, naruszając zakaz wynikający z treści art. 99 ust. 4 </w:t>
      </w:r>
      <w:proofErr w:type="spellStart"/>
      <w:r w:rsidRPr="00F56B78">
        <w:rPr>
          <w:rStyle w:val="Teksttreci0"/>
          <w:rFonts w:ascii="Times New Roman" w:hAnsi="Times New Roman"/>
          <w:sz w:val="24"/>
          <w:szCs w:val="24"/>
        </w:rPr>
        <w:t>Pzp</w:t>
      </w:r>
      <w:proofErr w:type="spellEnd"/>
      <w:r w:rsidRPr="00F56B78">
        <w:rPr>
          <w:rStyle w:val="Teksttreci0"/>
          <w:rFonts w:ascii="Times New Roman" w:hAnsi="Times New Roman"/>
          <w:sz w:val="24"/>
          <w:szCs w:val="24"/>
        </w:rPr>
        <w:t xml:space="preserve">, wskazał wyłącznie jeden produkt, który mogą zaoferować wykonawcy, tj. wykładzina sportową </w:t>
      </w:r>
      <w:proofErr w:type="spellStart"/>
      <w:r w:rsidRPr="00F56B78">
        <w:rPr>
          <w:rStyle w:val="Teksttreci0"/>
          <w:rFonts w:ascii="Times New Roman" w:hAnsi="Times New Roman"/>
          <w:sz w:val="24"/>
          <w:szCs w:val="24"/>
        </w:rPr>
        <w:t>Taraflex</w:t>
      </w:r>
      <w:proofErr w:type="spellEnd"/>
      <w:r w:rsidRPr="00F56B78">
        <w:rPr>
          <w:rStyle w:val="Teksttreci0"/>
          <w:rFonts w:ascii="Times New Roman" w:hAnsi="Times New Roman"/>
          <w:sz w:val="24"/>
          <w:szCs w:val="24"/>
        </w:rPr>
        <w:t xml:space="preserve"> </w:t>
      </w:r>
      <w:proofErr w:type="spellStart"/>
      <w:r w:rsidRPr="00F56B78">
        <w:rPr>
          <w:rStyle w:val="Teksttreci0"/>
          <w:rFonts w:ascii="Times New Roman" w:hAnsi="Times New Roman"/>
          <w:sz w:val="24"/>
          <w:szCs w:val="24"/>
        </w:rPr>
        <w:t>Evolution</w:t>
      </w:r>
      <w:proofErr w:type="spellEnd"/>
      <w:r w:rsidRPr="00F56B78">
        <w:rPr>
          <w:rStyle w:val="Teksttreci0"/>
          <w:rFonts w:ascii="Times New Roman" w:hAnsi="Times New Roman"/>
          <w:sz w:val="24"/>
          <w:szCs w:val="24"/>
        </w:rPr>
        <w:t xml:space="preserve"> marki </w:t>
      </w:r>
      <w:proofErr w:type="spellStart"/>
      <w:r w:rsidRPr="00F56B78">
        <w:rPr>
          <w:rStyle w:val="Teksttreci0"/>
          <w:rFonts w:ascii="Times New Roman" w:hAnsi="Times New Roman"/>
          <w:sz w:val="24"/>
          <w:szCs w:val="24"/>
        </w:rPr>
        <w:t>Gerflor</w:t>
      </w:r>
      <w:proofErr w:type="spellEnd"/>
      <w:r w:rsidRPr="00F56B78">
        <w:rPr>
          <w:rStyle w:val="Teksttreci0"/>
          <w:rFonts w:ascii="Times New Roman" w:hAnsi="Times New Roman"/>
          <w:sz w:val="24"/>
          <w:szCs w:val="24"/>
        </w:rPr>
        <w:t>?</w:t>
      </w:r>
    </w:p>
    <w:p w14:paraId="0CBCBF7E" w14:textId="24B4819B"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2.</w:t>
      </w:r>
      <w:r w:rsidR="0039695F">
        <w:rPr>
          <w:rStyle w:val="Teksttreci0"/>
          <w:rFonts w:ascii="Times New Roman" w:hAnsi="Times New Roman"/>
          <w:sz w:val="24"/>
          <w:szCs w:val="24"/>
        </w:rPr>
        <w:t xml:space="preserve"> </w:t>
      </w:r>
      <w:r w:rsidRPr="00F56B78">
        <w:rPr>
          <w:rStyle w:val="Teksttreci0"/>
          <w:rFonts w:ascii="Times New Roman" w:hAnsi="Times New Roman"/>
          <w:sz w:val="24"/>
          <w:szCs w:val="24"/>
        </w:rPr>
        <w:t xml:space="preserve">Czy w związku z naruszeniem zakazu wynikającego z treści art. 99 ust. 4 </w:t>
      </w:r>
      <w:proofErr w:type="spellStart"/>
      <w:r w:rsidRPr="00F56B78">
        <w:rPr>
          <w:rStyle w:val="Teksttreci0"/>
          <w:rFonts w:ascii="Times New Roman" w:hAnsi="Times New Roman"/>
          <w:sz w:val="24"/>
          <w:szCs w:val="24"/>
        </w:rPr>
        <w:t>Pzp</w:t>
      </w:r>
      <w:proofErr w:type="spellEnd"/>
      <w:r w:rsidRPr="00F56B78">
        <w:rPr>
          <w:rStyle w:val="Teksttreci0"/>
          <w:rFonts w:ascii="Times New Roman" w:hAnsi="Times New Roman"/>
          <w:sz w:val="24"/>
          <w:szCs w:val="24"/>
        </w:rPr>
        <w:t>, Zamawiający dopuści zaoferowanie przez wykonawców innych podłóg sportowych, które spełnią następujące wymagania:</w:t>
      </w:r>
    </w:p>
    <w:p w14:paraId="015B0FFC" w14:textId="2524DB9A"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w:t>
      </w:r>
      <w:r w:rsidR="0039695F">
        <w:rPr>
          <w:rStyle w:val="Teksttreci0"/>
          <w:rFonts w:ascii="Times New Roman" w:hAnsi="Times New Roman"/>
          <w:sz w:val="24"/>
          <w:szCs w:val="24"/>
        </w:rPr>
        <w:t xml:space="preserve"> </w:t>
      </w:r>
      <w:r w:rsidRPr="00F56B78">
        <w:rPr>
          <w:rStyle w:val="Teksttreci0"/>
          <w:rFonts w:ascii="Times New Roman" w:hAnsi="Times New Roman"/>
          <w:sz w:val="24"/>
          <w:szCs w:val="24"/>
        </w:rPr>
        <w:t>posiadanie przez wykładzinę co najmniej 3 certyfikatów dowolnych federacji sportowych</w:t>
      </w:r>
    </w:p>
    <w:p w14:paraId="75231F69" w14:textId="0C92AFE8" w:rsidR="00F56B78" w:rsidRPr="00F56B78"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w:t>
      </w:r>
      <w:r w:rsidR="0039695F">
        <w:rPr>
          <w:rStyle w:val="Teksttreci0"/>
          <w:rFonts w:ascii="Times New Roman" w:hAnsi="Times New Roman"/>
          <w:sz w:val="24"/>
          <w:szCs w:val="24"/>
        </w:rPr>
        <w:t xml:space="preserve"> </w:t>
      </w:r>
      <w:r w:rsidRPr="00F56B78">
        <w:rPr>
          <w:rStyle w:val="Teksttreci0"/>
          <w:rFonts w:ascii="Times New Roman" w:hAnsi="Times New Roman"/>
          <w:sz w:val="24"/>
          <w:szCs w:val="24"/>
        </w:rPr>
        <w:t>absorbcja uderzeń co najmniej P1 (wg. normy EN 14808)</w:t>
      </w:r>
    </w:p>
    <w:p w14:paraId="3BF95C49" w14:textId="5F78FBC9" w:rsidR="00180A34" w:rsidRDefault="00F56B78" w:rsidP="00F56B78">
      <w:pPr>
        <w:pStyle w:val="Standard"/>
        <w:jc w:val="both"/>
        <w:rPr>
          <w:rStyle w:val="Teksttreci0"/>
          <w:rFonts w:ascii="Times New Roman" w:hAnsi="Times New Roman"/>
          <w:sz w:val="24"/>
          <w:szCs w:val="24"/>
        </w:rPr>
      </w:pPr>
      <w:r w:rsidRPr="00F56B78">
        <w:rPr>
          <w:rStyle w:val="Teksttreci0"/>
          <w:rFonts w:ascii="Times New Roman" w:hAnsi="Times New Roman"/>
          <w:sz w:val="24"/>
          <w:szCs w:val="24"/>
        </w:rPr>
        <w:t xml:space="preserve">Podane wymagania oprócz preferowanej wykładziny marki </w:t>
      </w:r>
      <w:proofErr w:type="spellStart"/>
      <w:r w:rsidRPr="00F56B78">
        <w:rPr>
          <w:rStyle w:val="Teksttreci0"/>
          <w:rFonts w:ascii="Times New Roman" w:hAnsi="Times New Roman"/>
          <w:sz w:val="24"/>
          <w:szCs w:val="24"/>
        </w:rPr>
        <w:t>Gerflor</w:t>
      </w:r>
      <w:proofErr w:type="spellEnd"/>
      <w:r w:rsidRPr="00F56B78">
        <w:rPr>
          <w:rStyle w:val="Teksttreci0"/>
          <w:rFonts w:ascii="Times New Roman" w:hAnsi="Times New Roman"/>
          <w:sz w:val="24"/>
          <w:szCs w:val="24"/>
        </w:rPr>
        <w:t xml:space="preserve"> spełniają w oparciu o obowiązujące normy m.in. wykładziny takich producentów, jak </w:t>
      </w:r>
      <w:proofErr w:type="spellStart"/>
      <w:r w:rsidRPr="00F56B78">
        <w:rPr>
          <w:rStyle w:val="Teksttreci0"/>
          <w:rFonts w:ascii="Times New Roman" w:hAnsi="Times New Roman"/>
          <w:sz w:val="24"/>
          <w:szCs w:val="24"/>
        </w:rPr>
        <w:t>Tarkett</w:t>
      </w:r>
      <w:proofErr w:type="spellEnd"/>
      <w:r w:rsidRPr="00F56B78">
        <w:rPr>
          <w:rStyle w:val="Teksttreci0"/>
          <w:rFonts w:ascii="Times New Roman" w:hAnsi="Times New Roman"/>
          <w:sz w:val="24"/>
          <w:szCs w:val="24"/>
        </w:rPr>
        <w:t xml:space="preserve">, </w:t>
      </w:r>
      <w:proofErr w:type="spellStart"/>
      <w:r w:rsidRPr="00F56B78">
        <w:rPr>
          <w:rStyle w:val="Teksttreci0"/>
          <w:rFonts w:ascii="Times New Roman" w:hAnsi="Times New Roman"/>
          <w:sz w:val="24"/>
          <w:szCs w:val="24"/>
        </w:rPr>
        <w:t>Graboplast</w:t>
      </w:r>
      <w:proofErr w:type="spellEnd"/>
      <w:r w:rsidRPr="00F56B78">
        <w:rPr>
          <w:rStyle w:val="Teksttreci0"/>
          <w:rFonts w:ascii="Times New Roman" w:hAnsi="Times New Roman"/>
          <w:sz w:val="24"/>
          <w:szCs w:val="24"/>
        </w:rPr>
        <w:t xml:space="preserve">, </w:t>
      </w:r>
      <w:proofErr w:type="spellStart"/>
      <w:r w:rsidRPr="00F56B78">
        <w:rPr>
          <w:rStyle w:val="Teksttreci0"/>
          <w:rFonts w:ascii="Times New Roman" w:hAnsi="Times New Roman"/>
          <w:sz w:val="24"/>
          <w:szCs w:val="24"/>
        </w:rPr>
        <w:t>Mondo</w:t>
      </w:r>
      <w:proofErr w:type="spellEnd"/>
      <w:r w:rsidRPr="00F56B78">
        <w:rPr>
          <w:rStyle w:val="Teksttreci0"/>
          <w:rFonts w:ascii="Times New Roman" w:hAnsi="Times New Roman"/>
          <w:sz w:val="24"/>
          <w:szCs w:val="24"/>
        </w:rPr>
        <w:t>.</w:t>
      </w:r>
    </w:p>
    <w:p w14:paraId="4578A33B" w14:textId="77777777" w:rsidR="0039695F" w:rsidRDefault="0039695F">
      <w:pPr>
        <w:pStyle w:val="Standard"/>
        <w:jc w:val="both"/>
        <w:rPr>
          <w:rStyle w:val="Teksttreci0"/>
          <w:rFonts w:ascii="Times New Roman" w:hAnsi="Times New Roman"/>
          <w:sz w:val="24"/>
          <w:szCs w:val="24"/>
        </w:rPr>
      </w:pPr>
    </w:p>
    <w:p w14:paraId="035F3618" w14:textId="72731EFC" w:rsidR="006F3938" w:rsidRDefault="005272B5">
      <w:pPr>
        <w:pStyle w:val="Standard"/>
        <w:jc w:val="both"/>
      </w:pPr>
      <w:r>
        <w:rPr>
          <w:rStyle w:val="Teksttreci0"/>
          <w:rFonts w:ascii="Times New Roman" w:hAnsi="Times New Roman"/>
          <w:sz w:val="24"/>
          <w:szCs w:val="24"/>
        </w:rPr>
        <w:t>Odpowiedź:</w:t>
      </w:r>
    </w:p>
    <w:p w14:paraId="1E3C067D" w14:textId="77777777" w:rsidR="00B6628A" w:rsidRPr="00B6628A" w:rsidRDefault="00B6628A" w:rsidP="00B6628A">
      <w:pPr>
        <w:pStyle w:val="Standard"/>
        <w:jc w:val="both"/>
        <w:rPr>
          <w:rStyle w:val="Teksttreci0"/>
          <w:rFonts w:ascii="Times New Roman" w:hAnsi="Times New Roman"/>
          <w:sz w:val="24"/>
          <w:szCs w:val="24"/>
        </w:rPr>
      </w:pPr>
      <w:r w:rsidRPr="00B6628A">
        <w:rPr>
          <w:rStyle w:val="Teksttreci0"/>
          <w:rFonts w:ascii="Times New Roman" w:hAnsi="Times New Roman"/>
          <w:sz w:val="24"/>
          <w:szCs w:val="24"/>
        </w:rPr>
        <w:t xml:space="preserve">Zamawiający ma prawo wymagać, aby przedmiot zamówienia był zrealizowany w jakości wyższej niż standardowa. Zamawiający nie określa producenta nawierzchni sportowej lecz podaje parametry minimalne jakie musi spełniać. Dokonanie opisu przedmiotu zamówienia z zachowaniem zasad ustawowych nie jest jednoznaczne z koniecznością zapewnienia możliwości realizacji zamówienia przez wszystkie podmioty działające na rynku w danej branży. „Zamawiający ma prawo określić warunki udziału w postępowaniu odnoszące się do przedmiotu zamówienia w sposób, który uwzględnia obiektywne potrzeby zamawiającego, pomimo, że wyklucza on możliwość dopuszczenia do realizacji zamówienia wszystkich wykonawców działających na rynku. Prawem Zamawiającego jest takie opisanie warunków udziału w postępowaniu, które zaspokoi potrzeby i oczekiwania Zamawiającego w ramach realizacji danego przedmiotu zamówienia.” (por. Wyrok Krajowej Izby Odwoławczej z dnia 28 marca 2023 r. sygn. akt: KIO 703/23). </w:t>
      </w:r>
    </w:p>
    <w:p w14:paraId="7FD1BEC0" w14:textId="77777777" w:rsidR="00B6628A" w:rsidRPr="00B6628A" w:rsidRDefault="00B6628A" w:rsidP="00B6628A">
      <w:pPr>
        <w:pStyle w:val="Standard"/>
        <w:jc w:val="both"/>
        <w:rPr>
          <w:rStyle w:val="Teksttreci0"/>
          <w:rFonts w:ascii="Times New Roman" w:hAnsi="Times New Roman"/>
          <w:sz w:val="24"/>
          <w:szCs w:val="24"/>
        </w:rPr>
      </w:pPr>
    </w:p>
    <w:p w14:paraId="2C8FC7AF" w14:textId="77777777" w:rsidR="00B6628A" w:rsidRPr="00B6628A" w:rsidRDefault="00B6628A" w:rsidP="00B6628A">
      <w:pPr>
        <w:pStyle w:val="Standard"/>
        <w:jc w:val="both"/>
        <w:rPr>
          <w:rStyle w:val="Teksttreci0"/>
          <w:rFonts w:ascii="Times New Roman" w:hAnsi="Times New Roman"/>
          <w:sz w:val="24"/>
          <w:szCs w:val="24"/>
        </w:rPr>
      </w:pPr>
      <w:r w:rsidRPr="00B6628A">
        <w:rPr>
          <w:rStyle w:val="Teksttreci0"/>
          <w:rFonts w:ascii="Times New Roman" w:hAnsi="Times New Roman"/>
          <w:sz w:val="24"/>
          <w:szCs w:val="24"/>
        </w:rPr>
        <w:t>Ponadto, cyt.: „(…) prawidłowe określenie przedmiotu zamówienia jest nie tylko obowiązkiem ale i prawem Zamawiającego. Celem przyznania Zamawiającemu przez ustawodawcę uprawnienia w zakresie możliwość precyzowania cech przedmiotu zamówienia jest ochrona jego zobiektywizowanego interesu. Tym samym Zamawiający uprawniony jest do takiego sformułowania opisu przedmiotu zamówienia, który umożliwia otrzymanie przez Zamawiającego produktu odpowiadającego jego potrzebom. (…) Zamawiający uprawniony jest do wprowadzenia wymogów, które zawężają krąg potencjalnych wykonawców, jednakże zawężenie to następuje nie w celu preferowania określonego wykonawcy, ale w celu uzyskania produktu jak najbardziej odpowiadającego potrzebom Zamawiającego  (wyroki KIO 2588/10 z dnia 15 grudnia 2010r., KIO 2023/11 z dnia 5 października 2011r.)”,</w:t>
      </w:r>
    </w:p>
    <w:p w14:paraId="22EC48D6" w14:textId="77777777" w:rsidR="00B6628A" w:rsidRPr="00B6628A" w:rsidRDefault="00B6628A" w:rsidP="00B6628A">
      <w:pPr>
        <w:pStyle w:val="Standard"/>
        <w:jc w:val="both"/>
        <w:rPr>
          <w:rStyle w:val="Teksttreci0"/>
          <w:rFonts w:ascii="Times New Roman" w:hAnsi="Times New Roman"/>
          <w:sz w:val="24"/>
          <w:szCs w:val="24"/>
        </w:rPr>
      </w:pPr>
    </w:p>
    <w:p w14:paraId="5DB2FF6D" w14:textId="77777777" w:rsidR="00B6628A" w:rsidRPr="00B6628A" w:rsidRDefault="00B6628A" w:rsidP="00B6628A">
      <w:pPr>
        <w:pStyle w:val="Standard"/>
        <w:jc w:val="both"/>
        <w:rPr>
          <w:rStyle w:val="Teksttreci0"/>
          <w:rFonts w:ascii="Times New Roman" w:hAnsi="Times New Roman"/>
          <w:sz w:val="24"/>
          <w:szCs w:val="24"/>
        </w:rPr>
      </w:pPr>
      <w:r w:rsidRPr="00B6628A">
        <w:rPr>
          <w:rStyle w:val="Teksttreci0"/>
          <w:rFonts w:ascii="Times New Roman" w:hAnsi="Times New Roman"/>
          <w:sz w:val="24"/>
          <w:szCs w:val="24"/>
        </w:rPr>
        <w:t xml:space="preserve">Ponadto, cyt.: „(…) należy stwierdzić, że Zamawiający ma prawo do takiego opisania w SIWZ swoich potrzeb, aby zapewnić realizację celu stanowiącego opisany w SIWZ przedmiot zamówienia. Wykonawca nie jest uprawniony, aby ustalać za Zamawiającego jakie parametry przedmiotu zamówienia mają mieć istotny charakter (wyrok KIO 333/10 z dnia 24 marca 2010r. oraz KIO 1048 z dnia 22 czerwca 2010r.) (…),nie można przyznać wykonawcom czy organom orzekającym lub kontrolującym przestrzeganie przepisów ustawy uprawnienia do narzucania zamawiającym konkretnego określenia ich potrzeb oraz sposobu ich opisania czy zapewnienia ich realizacji w SIWZ (wyrok KIO 2149/13 z dnia 7 października 2013r.), (…) wskazać należy na autonomiczne prawo Zamawiającego do takiego opisania przedmiotu zamówienia, który </w:t>
      </w:r>
      <w:r w:rsidRPr="00B6628A">
        <w:rPr>
          <w:rStyle w:val="Teksttreci0"/>
          <w:rFonts w:ascii="Times New Roman" w:hAnsi="Times New Roman"/>
          <w:sz w:val="24"/>
          <w:szCs w:val="24"/>
        </w:rPr>
        <w:lastRenderedPageBreak/>
        <w:t>jego zdaniem zaspokoi jego potrzeby w zakresie opisanym w przedmiocie i to niezależnie od skutków tego opisu. (wyrok KIO156/16,KIO161/16 z dnia 16 lutego 2016r.)”.</w:t>
      </w:r>
    </w:p>
    <w:p w14:paraId="36FDCF97" w14:textId="77777777" w:rsidR="00B6628A" w:rsidRPr="00B6628A" w:rsidRDefault="00B6628A" w:rsidP="00B6628A">
      <w:pPr>
        <w:pStyle w:val="Standard"/>
        <w:jc w:val="both"/>
        <w:rPr>
          <w:rStyle w:val="Teksttreci0"/>
          <w:rFonts w:ascii="Times New Roman" w:hAnsi="Times New Roman"/>
          <w:sz w:val="24"/>
          <w:szCs w:val="24"/>
        </w:rPr>
      </w:pPr>
    </w:p>
    <w:p w14:paraId="7A0AAEE9" w14:textId="4211A946" w:rsidR="0011699F" w:rsidRPr="00C917FE" w:rsidRDefault="00B6628A" w:rsidP="00B6628A">
      <w:pPr>
        <w:pStyle w:val="Standard"/>
        <w:jc w:val="both"/>
        <w:rPr>
          <w:rStyle w:val="Teksttreci0"/>
          <w:rFonts w:ascii="Times New Roman" w:hAnsi="Times New Roman"/>
          <w:sz w:val="24"/>
          <w:szCs w:val="24"/>
          <w:u w:val="single"/>
        </w:rPr>
      </w:pPr>
      <w:r w:rsidRPr="00C917FE">
        <w:rPr>
          <w:rStyle w:val="Teksttreci0"/>
          <w:rFonts w:ascii="Times New Roman" w:hAnsi="Times New Roman"/>
          <w:b/>
          <w:bCs/>
          <w:sz w:val="24"/>
          <w:szCs w:val="24"/>
        </w:rPr>
        <w:t>Zamawiający nie wymaga na etapie przetargu przedstawiania certyfikatów związków sportowych, gdyż ze względu na okres trwania inwestycji nie jest wiadome, które nawierzchnie te certyfikaty uzyskają w momencie akceptacji materiałów do wbudowania przez inspektora nadzoru.</w:t>
      </w:r>
      <w:r w:rsidRPr="00B6628A">
        <w:rPr>
          <w:rStyle w:val="Teksttreci0"/>
          <w:rFonts w:ascii="Times New Roman" w:hAnsi="Times New Roman"/>
          <w:sz w:val="24"/>
          <w:szCs w:val="24"/>
        </w:rPr>
        <w:t xml:space="preserve"> Aby nie ograniczać konkurencji w procesie inwestycyjnym Zamawiający będzie wymagał przedstawiania wszystkich wymienionych certyfikatów dla nawierzchni sportowej </w:t>
      </w:r>
      <w:r w:rsidRPr="00C917FE">
        <w:rPr>
          <w:rStyle w:val="Teksttreci0"/>
          <w:rFonts w:ascii="Times New Roman" w:hAnsi="Times New Roman"/>
          <w:sz w:val="24"/>
          <w:szCs w:val="24"/>
          <w:u w:val="single"/>
        </w:rPr>
        <w:t>przed wbudowaniem.</w:t>
      </w:r>
      <w:r w:rsidRPr="00B6628A">
        <w:rPr>
          <w:rStyle w:val="Teksttreci0"/>
          <w:rFonts w:ascii="Times New Roman" w:hAnsi="Times New Roman"/>
          <w:sz w:val="24"/>
          <w:szCs w:val="24"/>
        </w:rPr>
        <w:t xml:space="preserve"> Producenci wykładzin, którzy planują udział w inwestycji mają ponad rok na uzyskanie tych certyfikatów, co jasno pokazuje że są równo traktowani. </w:t>
      </w:r>
      <w:r w:rsidRPr="00C917FE">
        <w:rPr>
          <w:rStyle w:val="Teksttreci0"/>
          <w:rFonts w:ascii="Times New Roman" w:hAnsi="Times New Roman"/>
          <w:sz w:val="24"/>
          <w:szCs w:val="24"/>
          <w:u w:val="single"/>
        </w:rPr>
        <w:t>Każdy producent nawierzchni sportowych może zawnioskować o wydanie certyfikatu do federacji sportowych i uzyskać go po spełnieniu wymogów federacji.</w:t>
      </w:r>
    </w:p>
    <w:p w14:paraId="6A85F015" w14:textId="77777777" w:rsidR="00B6628A" w:rsidRDefault="00B6628A">
      <w:pPr>
        <w:pStyle w:val="Standard"/>
        <w:rPr>
          <w:rStyle w:val="Teksttreci0"/>
          <w:rFonts w:ascii="Times New Roman" w:hAnsi="Times New Roman"/>
          <w:sz w:val="24"/>
          <w:szCs w:val="24"/>
        </w:rPr>
      </w:pPr>
    </w:p>
    <w:p w14:paraId="391D1532" w14:textId="77777777" w:rsidR="00B6628A" w:rsidRPr="00C917FE" w:rsidRDefault="00B6628A" w:rsidP="00B6628A">
      <w:pPr>
        <w:pStyle w:val="Standard"/>
        <w:jc w:val="both"/>
        <w:rPr>
          <w:rStyle w:val="Teksttreci0"/>
          <w:rFonts w:ascii="Times New Roman" w:hAnsi="Times New Roman"/>
          <w:sz w:val="24"/>
          <w:szCs w:val="24"/>
          <w:u w:val="single"/>
        </w:rPr>
      </w:pPr>
      <w:r w:rsidRPr="00B6628A">
        <w:rPr>
          <w:rStyle w:val="Teksttreci0"/>
          <w:rFonts w:ascii="Times New Roman" w:hAnsi="Times New Roman"/>
          <w:sz w:val="24"/>
          <w:szCs w:val="24"/>
        </w:rPr>
        <w:t xml:space="preserve">Certyfikaty związków sportowych wydawane są czasowo przeważnie na okres jednego roku. Zamawiający nie wymaga na etapie przetargu przedstawiania certyfikatów związków sportowych, gdyż ze względu na okres trwania inwestycji nie jest wiadome, które nawierzchnie te certyfikaty uzyskają w momencie akceptacji materiałów do wbudowania przez inspektora nadzoru. Aby nie ograniczać konkurencji w procesie inwestycyjnym Zamawiający będzie wymagał przedstawiania wszystkich wymienionych certyfikatów dla nawierzchni sportowej przed wbudowaniem. Producenci wykładzin, którzy planują udział w inwestycji mają ponad rok na uzyskanie tych certyfikatów, co jasno pokazuje że są równo traktowani. </w:t>
      </w:r>
      <w:r w:rsidRPr="00C917FE">
        <w:rPr>
          <w:rStyle w:val="Teksttreci0"/>
          <w:rFonts w:ascii="Times New Roman" w:hAnsi="Times New Roman"/>
          <w:sz w:val="24"/>
          <w:szCs w:val="24"/>
          <w:u w:val="single"/>
        </w:rPr>
        <w:t xml:space="preserve">Każdy producent nawierzchni sportowych może zawnioskować o wydanie certyfikatu do federacji sportowych i uzyskać go po spełnieniu wymogów federacji. </w:t>
      </w:r>
    </w:p>
    <w:p w14:paraId="2BC2E141" w14:textId="77777777" w:rsidR="00B6628A" w:rsidRPr="00B6628A" w:rsidRDefault="00B6628A" w:rsidP="00B6628A">
      <w:pPr>
        <w:pStyle w:val="Standard"/>
        <w:jc w:val="both"/>
        <w:rPr>
          <w:rStyle w:val="Teksttreci0"/>
          <w:rFonts w:ascii="Times New Roman" w:hAnsi="Times New Roman"/>
          <w:sz w:val="24"/>
          <w:szCs w:val="24"/>
        </w:rPr>
      </w:pPr>
    </w:p>
    <w:p w14:paraId="2A5A4E7C" w14:textId="6E483607" w:rsidR="00B6628A" w:rsidRDefault="00B6628A" w:rsidP="00B6628A">
      <w:pPr>
        <w:pStyle w:val="Standard"/>
        <w:jc w:val="both"/>
        <w:rPr>
          <w:rStyle w:val="Teksttreci0"/>
          <w:rFonts w:ascii="Times New Roman" w:hAnsi="Times New Roman"/>
          <w:sz w:val="24"/>
          <w:szCs w:val="24"/>
        </w:rPr>
      </w:pPr>
      <w:r w:rsidRPr="00B6628A">
        <w:rPr>
          <w:rStyle w:val="Teksttreci0"/>
          <w:rFonts w:ascii="Times New Roman" w:hAnsi="Times New Roman"/>
          <w:sz w:val="24"/>
          <w:szCs w:val="24"/>
        </w:rPr>
        <w:t>Zamawiający podtrzymuje wszystkie wymagania dotyczące podłogi sportowej w tym nawierzchni sportowej PCV.</w:t>
      </w:r>
    </w:p>
    <w:p w14:paraId="35D89058" w14:textId="77777777" w:rsidR="00B6628A" w:rsidRDefault="00B6628A">
      <w:pPr>
        <w:pStyle w:val="Standard"/>
        <w:rPr>
          <w:rStyle w:val="Teksttreci0"/>
          <w:rFonts w:ascii="Times New Roman" w:hAnsi="Times New Roman"/>
          <w:sz w:val="24"/>
          <w:szCs w:val="24"/>
        </w:rPr>
      </w:pPr>
    </w:p>
    <w:p w14:paraId="143563C3" w14:textId="634DAC51" w:rsidR="006F2468" w:rsidRDefault="00EE781E">
      <w:pPr>
        <w:pStyle w:val="Standard"/>
        <w:rPr>
          <w:rStyle w:val="Teksttreci0"/>
          <w:rFonts w:ascii="Times New Roman" w:hAnsi="Times New Roman"/>
          <w:sz w:val="24"/>
          <w:szCs w:val="24"/>
        </w:rPr>
      </w:pPr>
      <w:r w:rsidRPr="00EE781E">
        <w:rPr>
          <w:rStyle w:val="Teksttreci0"/>
          <w:rFonts w:ascii="Times New Roman" w:hAnsi="Times New Roman"/>
          <w:sz w:val="24"/>
          <w:szCs w:val="24"/>
        </w:rPr>
        <w:t xml:space="preserve">Pytanie nr </w:t>
      </w:r>
      <w:r>
        <w:rPr>
          <w:rStyle w:val="Teksttreci0"/>
          <w:rFonts w:ascii="Times New Roman" w:hAnsi="Times New Roman"/>
          <w:sz w:val="24"/>
          <w:szCs w:val="24"/>
        </w:rPr>
        <w:t>2</w:t>
      </w:r>
    </w:p>
    <w:p w14:paraId="0741632E" w14:textId="77777777" w:rsidR="00F56B78" w:rsidRDefault="00F56B78" w:rsidP="00F56B78">
      <w:pPr>
        <w:pStyle w:val="Standard"/>
      </w:pPr>
      <w:r>
        <w:t>Prosimy uprzejmie o odniesienie do pytań i odpowiedzi nr 14 SWZ z dnia 20.04.2025:</w:t>
      </w:r>
    </w:p>
    <w:p w14:paraId="63369822" w14:textId="77777777" w:rsidR="0039695F" w:rsidRDefault="0039695F" w:rsidP="00F56B78">
      <w:pPr>
        <w:pStyle w:val="Standard"/>
      </w:pPr>
    </w:p>
    <w:p w14:paraId="728687B1" w14:textId="401AE7AC" w:rsidR="00F56B78" w:rsidRDefault="00F56B78" w:rsidP="00B6628A">
      <w:pPr>
        <w:pStyle w:val="Standard"/>
        <w:jc w:val="both"/>
      </w:pPr>
      <w:r>
        <w:t xml:space="preserve">Ustawa z 11 września 2019 r. Prawo zamówień publicznych (tj. </w:t>
      </w:r>
      <w:proofErr w:type="spellStart"/>
      <w:r>
        <w:t>DzU</w:t>
      </w:r>
      <w:proofErr w:type="spellEnd"/>
      <w:r>
        <w:t xml:space="preserve">. 2023. 1605 ze zm.) wymaga by Zamawiający opisał przedmiot zamówienia w sposób jednoznaczny i wyczerpujący, za pomocą dostatecznie dokładnych i zrozumiałych określeń, uwzględniając wymagania i okoliczności mogące mieć wpływ na sporządzenie oferty. Wskazany przepis wprost określa obowiązek Zamawiającego, który polega na tym, iż każdy wyspecyfikowany opisem przedmiotu zamówienia wymóg powinien być realny do spełniania oraz możliwy do zweryfikowania przez Zamawiającego. Wskazane opisem przedmiotu zamówienia wymagania muszą być każdorazowo weryfikowane przez Zamawiającego w stosunku do każdego z zaoferowanych materiałów i nie mogą być pominięte. W przeciwnym wypadku, powinny być one wyeliminowane z opisu przedmiotu zamówienia, jako zbędne. Co ważne, opis przedmiotu zamówienia powinien być możliwy do zweryfikowania na podstawie obiektywnych sposobów sprawdzenia, tj. wskazywać na podstawie czego Zamawiający zweryfikuje jakiś parametr i w jaki sposób przed złożeniem oferty sprawdzić ma to sam wykonawca, którego oferta niezgodna z warunkami zamówienia będzie podlegała odrzuceniu na podstawie art. 226 ust. 1 pkt 5) </w:t>
      </w:r>
      <w:proofErr w:type="spellStart"/>
      <w:r>
        <w:t>Pzp</w:t>
      </w:r>
      <w:proofErr w:type="spellEnd"/>
      <w:r>
        <w:t xml:space="preserve">. Stąd też, mając na uwadze wymagania art. 99 ust. 1 </w:t>
      </w:r>
      <w:proofErr w:type="spellStart"/>
      <w:r>
        <w:t>Pzp</w:t>
      </w:r>
      <w:proofErr w:type="spellEnd"/>
      <w:r>
        <w:t xml:space="preserve"> oraz zasadę przejrzystości postępowania, która została uregulowana w art. 16 pkt 2) Ustawy Zamawiający zobligowany jest do takiego opisania przedmiotu zamówienia, aby każdy wykonawca miał wiedzę, w jaki sposób ma wykazać spełnienie określonego przez Zamawiającego wymogu przedmiotowego.</w:t>
      </w:r>
    </w:p>
    <w:p w14:paraId="3B79F359" w14:textId="77777777" w:rsidR="0039695F" w:rsidRDefault="0039695F" w:rsidP="00F56B78">
      <w:pPr>
        <w:pStyle w:val="Standard"/>
      </w:pPr>
    </w:p>
    <w:p w14:paraId="2E10830B" w14:textId="40774AB6" w:rsidR="00F56B78" w:rsidRDefault="00F56B78" w:rsidP="0039695F">
      <w:pPr>
        <w:pStyle w:val="Standard"/>
        <w:jc w:val="both"/>
      </w:pPr>
      <w:r>
        <w:lastRenderedPageBreak/>
        <w:t xml:space="preserve">Mając powyższe na uwadze, Wykonawca na podstawie art. 284 ust. 1 </w:t>
      </w:r>
      <w:proofErr w:type="spellStart"/>
      <w:r>
        <w:t>Pzp</w:t>
      </w:r>
      <w:proofErr w:type="spellEnd"/>
      <w:r>
        <w:t xml:space="preserve"> zwraca się do Zamawiającego z wnioskiem o wyjaśnienie treści odpowiedzi na pytania z dnia 20.03.2025 – wyjaśnienia nr 14:</w:t>
      </w:r>
    </w:p>
    <w:p w14:paraId="5B3A4E8E" w14:textId="77777777" w:rsidR="0039695F" w:rsidRDefault="0039695F" w:rsidP="00F56B78">
      <w:pPr>
        <w:pStyle w:val="Standard"/>
      </w:pPr>
    </w:p>
    <w:p w14:paraId="13A498D0" w14:textId="6A556DC3" w:rsidR="00EE781E" w:rsidRDefault="00F56B78" w:rsidP="0039695F">
      <w:pPr>
        <w:pStyle w:val="Standard"/>
        <w:jc w:val="both"/>
      </w:pPr>
      <w:r>
        <w:t>1.</w:t>
      </w:r>
      <w:r w:rsidR="0039695F">
        <w:t xml:space="preserve"> </w:t>
      </w:r>
      <w:r>
        <w:t xml:space="preserve">Dlaczego Zamawiający wskazując w opisie przedmiotu zamówienia normę EN 24340 zawierającej metodologię badania warstwy wierzchniej wykładziny wraz z raportem badań potwierdzającym grubość 2 mm, posługuje się pojęciem „grubość warstwy ścieralnej”, które wbrew nomenklaturze normy PN-EN ISO 24340 występuję wyłącznie w produktach marki </w:t>
      </w:r>
      <w:proofErr w:type="spellStart"/>
      <w:r>
        <w:t>Gerflor</w:t>
      </w:r>
      <w:proofErr w:type="spellEnd"/>
      <w:r>
        <w:t xml:space="preserve">? Zamawiający nie może posługiwać się pojęciem właściwym wyłącznie dla jednego producenta, które określa parametr fizyczny wykładzin oferowanych na rynku przez różnych producentów, ponieważ jest to wymóg, który weryfikowany może być wyłącznie na podstawie informacji jednego producenta i do tego niemożliwy do obiektywnego wykazania. W związku w tym, wnosimy o zmianę użytej w opisie przedmiotu zamówienia nomenklatury na zgodną z normą EN 24340 i jednoczesne usunięcie pojęcia charakteryzującego wyłącznie produkty </w:t>
      </w:r>
      <w:proofErr w:type="spellStart"/>
      <w:r>
        <w:t>Gerflor</w:t>
      </w:r>
      <w:proofErr w:type="spellEnd"/>
      <w:r>
        <w:t>, poprzez dopuszczenie wykładzin sportowych o jednorodnej grubości warstwy użytkowej EN ISO 24340 ≥ 0,7 mm.</w:t>
      </w:r>
    </w:p>
    <w:p w14:paraId="1BCEEB0E" w14:textId="77777777" w:rsidR="0039695F" w:rsidRDefault="0039695F">
      <w:pPr>
        <w:pStyle w:val="Standard"/>
      </w:pPr>
    </w:p>
    <w:p w14:paraId="5B6DFD48" w14:textId="6A60BA10" w:rsidR="006F2468" w:rsidRDefault="00EE781E">
      <w:pPr>
        <w:pStyle w:val="Standard"/>
      </w:pPr>
      <w:r w:rsidRPr="00EE781E">
        <w:t>Odpowiedź:</w:t>
      </w:r>
    </w:p>
    <w:p w14:paraId="3C39230A" w14:textId="77777777" w:rsidR="00C917FE" w:rsidRDefault="00C917FE" w:rsidP="00C917FE">
      <w:pPr>
        <w:pStyle w:val="Standard"/>
        <w:jc w:val="both"/>
      </w:pPr>
      <w:r>
        <w:t>Zamawiający wymaga, aby nawierzchnia sportowa posiadała warstwę wierzchnią/użytkową wykonaną z kalandrowanego PVC o minimalnej grubości 2 mm, mierzonej wg aktualnie obowiązujących norm, np. PN-EN ISO 24340 Elastyczne pokrycia podłogowe – Wyznaczanie grubości warstw. Należy zwrócić uwagę, że warstwa wierzchnia w wykładzinach sportowych spełnia zupełnie inna formę niż w wykładzinach obiektowych. Tutaj ważnym aspektem oprócz odporności na ścieranie, jest również bardzo istotna odporność na wgniecenia punktowe i uderzenia , tak aby wykładzina w długim okresie czasu nie przedziurawiła się na piance amortyzującej. Zamawiający – formułując opis przedmiotu zamówienia, może posługiwać się kryteriami zapewniającymi jak najwyższe parametry jakościowe i komfort użytkowania, gdyż w ten sposób zmierza do efektywnego wykorzystania środków publicznych, jakie zostaną wydane w ramach postępowania. Zasada zachowania uczciwej konkurencji, równego traktowania oraz proporcjonalności nie jest równoznaczna z koniecznością akceptacji przez zamawiającego każdego świadczenia – w tym towarów i usług niskiej jakości, bądź minimalnych parametrach, tylko w tym celu, aby zapewnić możliwość ubiegania się o zamówienie szerokiemu kręgowi wykonawców.</w:t>
      </w:r>
    </w:p>
    <w:p w14:paraId="1242CC6A" w14:textId="77020A07" w:rsidR="00C917FE" w:rsidRDefault="00C917FE" w:rsidP="00C917FE">
      <w:pPr>
        <w:pStyle w:val="Standard"/>
        <w:jc w:val="both"/>
      </w:pPr>
      <w:r>
        <w:t>Dodatkowo należy podkreślić, że wykonawca nie jest uprawniony, aby ustalać za zamawiającego jakie parametry przedmiotu zamówienia mają mieć istotny charakter oraz wskazać należy na prawo zamawiającego do takiego opisania przedmiotu zamówienia, który jego zdaniem zaspokoi jego potrzeby.</w:t>
      </w:r>
    </w:p>
    <w:p w14:paraId="6BAEB6A6" w14:textId="77777777" w:rsidR="00C917FE" w:rsidRDefault="00C917FE" w:rsidP="00EE781E">
      <w:pPr>
        <w:pStyle w:val="Standard"/>
      </w:pPr>
    </w:p>
    <w:p w14:paraId="4B668B55" w14:textId="2447A5C2" w:rsidR="00EE781E" w:rsidRDefault="00EE781E" w:rsidP="00EE781E">
      <w:pPr>
        <w:pStyle w:val="Standard"/>
      </w:pPr>
      <w:r>
        <w:t>Pytanie nr 3</w:t>
      </w:r>
    </w:p>
    <w:p w14:paraId="44DC3BCC" w14:textId="77777777" w:rsidR="00F56B78" w:rsidRDefault="00F56B78" w:rsidP="0039695F">
      <w:pPr>
        <w:pStyle w:val="Standard"/>
        <w:jc w:val="both"/>
      </w:pPr>
      <w:r>
        <w:t>Prosimy uprzejmie o odniesienie do pytań i odpowiedzi nr 14 SWZ z dnia 20.04.2025:</w:t>
      </w:r>
    </w:p>
    <w:p w14:paraId="11D6ACEF" w14:textId="77777777" w:rsidR="0039695F" w:rsidRDefault="0039695F" w:rsidP="0039695F">
      <w:pPr>
        <w:pStyle w:val="Standard"/>
        <w:jc w:val="both"/>
      </w:pPr>
    </w:p>
    <w:p w14:paraId="4FEEC884" w14:textId="6C1C397F" w:rsidR="00F56B78" w:rsidRDefault="00F56B78" w:rsidP="0039695F">
      <w:pPr>
        <w:pStyle w:val="Standard"/>
        <w:jc w:val="both"/>
      </w:pPr>
      <w:r>
        <w:t>Zwracamy uwagę, że zapis w odpowiedzi na pytanie 1 z dnia 20.03.2025 dotyczący wymogu minimum 75% składników pochodzenia mineralnego w produktach podłogowych prowadzi do zawężenia konkurencji i faworyzowania jednego producenta, który jako jedyny spełnia ten wymóg.</w:t>
      </w:r>
    </w:p>
    <w:p w14:paraId="01E4DB22" w14:textId="77777777" w:rsidR="0039695F" w:rsidRDefault="0039695F" w:rsidP="0039695F">
      <w:pPr>
        <w:pStyle w:val="Standard"/>
        <w:jc w:val="both"/>
      </w:pPr>
    </w:p>
    <w:p w14:paraId="168F4DC4" w14:textId="73B50099" w:rsidR="00F56B78" w:rsidRDefault="00F56B78" w:rsidP="0039695F">
      <w:pPr>
        <w:pStyle w:val="Standard"/>
        <w:jc w:val="both"/>
      </w:pPr>
      <w:r>
        <w:t xml:space="preserve">Jednocześnie wskazujemy, że sposób definiowania składu w zakresie materiałów mineralnych w niektórych deklaracjach wprowadza w błąd użytkownika końcowego. W szczególności podział PVC na sól i etylen jako osobne składniki to przykład manipulacyjnej komunikacji </w:t>
      </w:r>
      <w:r>
        <w:lastRenderedPageBreak/>
        <w:t>marketingowej, której celem jest sztuczne podbijanie udziału składników naturalnych w produkcie. Sól, będąca integralnym substratem PVC, nie powinna być klasyfikowana jako niezależny składnik mineralny, gdyż jej obecność nie zmienia w żaden sposób charakterystyki materiału ani jego wpływu na środowisko.</w:t>
      </w:r>
    </w:p>
    <w:p w14:paraId="69A065A8" w14:textId="77777777" w:rsidR="0039695F" w:rsidRDefault="0039695F" w:rsidP="0039695F">
      <w:pPr>
        <w:pStyle w:val="Standard"/>
        <w:jc w:val="both"/>
      </w:pPr>
    </w:p>
    <w:p w14:paraId="12A71B91" w14:textId="43B74A0B" w:rsidR="00F56B78" w:rsidRDefault="00F56B78" w:rsidP="0039695F">
      <w:pPr>
        <w:pStyle w:val="Standard"/>
        <w:jc w:val="both"/>
      </w:pPr>
      <w:r>
        <w:t xml:space="preserve">Podkreślamy również, że zgodnie z przepisami dotyczącymi przeciwdziałania </w:t>
      </w:r>
      <w:proofErr w:type="spellStart"/>
      <w:r>
        <w:t>greenwashingowi</w:t>
      </w:r>
      <w:proofErr w:type="spellEnd"/>
      <w:r>
        <w:t>, m.in. Dyrektywą Parlamentu Europejskiego i Rady (UE) 2019/2161 oraz wytycznymi Komisji Europejskiej dotyczącymi nieuczciwych praktyk handlowych, wszelkie deklaracje środowiskowe powinny być oparte na rzetelnych, możliwych do zweryfikowania danych. Wymóg zawartości mineralnej na poziomie 75% nie może opierać się na arbitralnym podziale chemicznym PVC i powinien być uzasadniony analizą cyklu życia produktu (LCA).</w:t>
      </w:r>
    </w:p>
    <w:p w14:paraId="551FEC9E" w14:textId="77777777" w:rsidR="0039695F" w:rsidRDefault="0039695F" w:rsidP="0039695F">
      <w:pPr>
        <w:pStyle w:val="Standard"/>
        <w:jc w:val="both"/>
      </w:pPr>
    </w:p>
    <w:p w14:paraId="2FD94878" w14:textId="4968D0D2" w:rsidR="00F56B78" w:rsidRDefault="00F56B78" w:rsidP="0039695F">
      <w:pPr>
        <w:pStyle w:val="Standard"/>
        <w:jc w:val="both"/>
      </w:pPr>
      <w:r>
        <w:t>W związku z powyższym, prosimy o odpowiedź na następujące pytania:</w:t>
      </w:r>
    </w:p>
    <w:p w14:paraId="4ED0050D" w14:textId="5FF05E7A" w:rsidR="00EE781E" w:rsidRDefault="00F56B78" w:rsidP="0039695F">
      <w:pPr>
        <w:pStyle w:val="Standard"/>
        <w:jc w:val="both"/>
      </w:pPr>
      <w:r>
        <w:t>1.</w:t>
      </w:r>
      <w:r w:rsidR="0039695F">
        <w:t xml:space="preserve"> </w:t>
      </w:r>
      <w:r>
        <w:t xml:space="preserve">Uwzględniając deklarowaną przez zamawiającego dbałość o minimalizację wpływu produktów na środowisko naturalne, wnosimy o rozważenie alternatywnego kryterium oceny, jakim jest zawartość plastyfikatorów pochodzenia naturalnego. W odróżnieniu od arbitralnego podziału PVC na sól i etylen, który stanowi przykład działań wprowadzających w błąd użytkownika końcowego, zastosowanie </w:t>
      </w:r>
      <w:proofErr w:type="spellStart"/>
      <w:r>
        <w:t>bioplastyfikatorów</w:t>
      </w:r>
      <w:proofErr w:type="spellEnd"/>
      <w:r>
        <w:t xml:space="preserve"> może przyczyniać się do realnej redukcji śladu środowiskowego produktu. Czy zamawiający przewiduje uwzględnienie w specyfikacji przetargowej wymogu stosowania </w:t>
      </w:r>
      <w:proofErr w:type="spellStart"/>
      <w:r>
        <w:t>bioplastyfikatorów</w:t>
      </w:r>
      <w:proofErr w:type="spellEnd"/>
      <w:r>
        <w:t xml:space="preserve"> jako jednego z kryteriów oceny zgodności produktów z polityką zrównoważonego rozwoju?</w:t>
      </w:r>
    </w:p>
    <w:p w14:paraId="7FECFA4C" w14:textId="77777777" w:rsidR="0039695F" w:rsidRDefault="0039695F" w:rsidP="00EE781E">
      <w:pPr>
        <w:pStyle w:val="Standard"/>
      </w:pPr>
    </w:p>
    <w:p w14:paraId="26067F20" w14:textId="23654AA2" w:rsidR="006F2468" w:rsidRDefault="00EE781E" w:rsidP="00EE781E">
      <w:pPr>
        <w:pStyle w:val="Standard"/>
      </w:pPr>
      <w:r>
        <w:t>Odpowiedź:</w:t>
      </w:r>
    </w:p>
    <w:p w14:paraId="2D46D1A0" w14:textId="4CE89C64" w:rsidR="0011699F" w:rsidRDefault="00B6628A" w:rsidP="00B6628A">
      <w:pPr>
        <w:pStyle w:val="Standard"/>
        <w:jc w:val="both"/>
      </w:pPr>
      <w:r w:rsidRPr="00B6628A">
        <w:t>Zamawiający podtrzymuje wymagania dotyczące wymogu minimum 75% składników pochodzenia mineralnego.</w:t>
      </w:r>
    </w:p>
    <w:p w14:paraId="2F957A64" w14:textId="77777777" w:rsidR="0011699F" w:rsidRDefault="0011699F" w:rsidP="00EE781E">
      <w:pPr>
        <w:pStyle w:val="Standard"/>
      </w:pPr>
    </w:p>
    <w:p w14:paraId="51B95E6F" w14:textId="77777777" w:rsidR="0011699F" w:rsidRDefault="0011699F" w:rsidP="00EE781E">
      <w:pPr>
        <w:pStyle w:val="Standard"/>
      </w:pPr>
    </w:p>
    <w:p w14:paraId="7B7B3E6D" w14:textId="77777777" w:rsidR="0011699F" w:rsidRDefault="0011699F" w:rsidP="00EE781E">
      <w:pPr>
        <w:pStyle w:val="Standard"/>
      </w:pPr>
    </w:p>
    <w:p w14:paraId="4780B449" w14:textId="77777777" w:rsidR="00E92E65" w:rsidRDefault="00E92E65" w:rsidP="00EE781E">
      <w:pPr>
        <w:pStyle w:val="Standard"/>
      </w:pPr>
    </w:p>
    <w:p w14:paraId="71E8575B" w14:textId="77777777" w:rsidR="00E92E65" w:rsidRDefault="00E92E65" w:rsidP="00EE781E">
      <w:pPr>
        <w:pStyle w:val="Standard"/>
      </w:pPr>
    </w:p>
    <w:p w14:paraId="6A06AF09" w14:textId="77777777" w:rsidR="00C917FE" w:rsidRDefault="00C917FE" w:rsidP="00EE781E">
      <w:pPr>
        <w:pStyle w:val="Standard"/>
      </w:pPr>
    </w:p>
    <w:p w14:paraId="501D4E35" w14:textId="77777777" w:rsidR="00C917FE" w:rsidRDefault="00C917FE" w:rsidP="00EE781E">
      <w:pPr>
        <w:pStyle w:val="Standard"/>
      </w:pPr>
    </w:p>
    <w:p w14:paraId="423BD432" w14:textId="77777777" w:rsidR="00C917FE" w:rsidRDefault="00C917FE" w:rsidP="00EE781E">
      <w:pPr>
        <w:pStyle w:val="Standard"/>
      </w:pPr>
    </w:p>
    <w:p w14:paraId="4CD39CFF" w14:textId="77777777" w:rsidR="00C917FE" w:rsidRDefault="00C917FE" w:rsidP="00EE781E">
      <w:pPr>
        <w:pStyle w:val="Standard"/>
      </w:pPr>
    </w:p>
    <w:p w14:paraId="7FC2587B" w14:textId="77777777" w:rsidR="00C917FE" w:rsidRDefault="00C917FE" w:rsidP="00EE781E">
      <w:pPr>
        <w:pStyle w:val="Standard"/>
      </w:pPr>
    </w:p>
    <w:p w14:paraId="14824CF0" w14:textId="77777777" w:rsidR="00C917FE" w:rsidRDefault="00C917FE" w:rsidP="00EE781E">
      <w:pPr>
        <w:pStyle w:val="Standard"/>
      </w:pPr>
    </w:p>
    <w:p w14:paraId="3485646C" w14:textId="77777777" w:rsidR="00C917FE" w:rsidRDefault="00C917FE" w:rsidP="00EE781E">
      <w:pPr>
        <w:pStyle w:val="Standard"/>
      </w:pPr>
    </w:p>
    <w:p w14:paraId="1830CBB0" w14:textId="77777777" w:rsidR="00C917FE" w:rsidRDefault="00C917FE" w:rsidP="00EE781E">
      <w:pPr>
        <w:pStyle w:val="Standard"/>
      </w:pPr>
    </w:p>
    <w:p w14:paraId="40D2E136" w14:textId="77777777" w:rsidR="00C917FE" w:rsidRDefault="00C917FE" w:rsidP="00EE781E">
      <w:pPr>
        <w:pStyle w:val="Standard"/>
      </w:pPr>
    </w:p>
    <w:p w14:paraId="01C25518" w14:textId="77777777" w:rsidR="00C917FE" w:rsidRDefault="00C917FE" w:rsidP="00EE781E">
      <w:pPr>
        <w:pStyle w:val="Standard"/>
      </w:pPr>
    </w:p>
    <w:p w14:paraId="226553C8" w14:textId="77777777" w:rsidR="00EE781E" w:rsidRDefault="00EE781E" w:rsidP="00EE781E">
      <w:pPr>
        <w:pStyle w:val="Standard"/>
      </w:pPr>
    </w:p>
    <w:p w14:paraId="0F92E720" w14:textId="77777777" w:rsidR="00EE781E" w:rsidRDefault="00EE781E" w:rsidP="00EE781E">
      <w:pPr>
        <w:pStyle w:val="Standard"/>
      </w:pPr>
    </w:p>
    <w:p w14:paraId="6F7604EC" w14:textId="77777777" w:rsidR="006F3938" w:rsidRDefault="005272B5">
      <w:pPr>
        <w:pStyle w:val="Standard"/>
      </w:pPr>
      <w:r>
        <w:t>Otrzymują:</w:t>
      </w:r>
    </w:p>
    <w:p w14:paraId="1DA7BC0F" w14:textId="77777777" w:rsidR="006F3938" w:rsidRDefault="005272B5">
      <w:pPr>
        <w:pStyle w:val="Standard"/>
      </w:pPr>
      <w:r>
        <w:t>1/ https://platformazakupowa.pl/pn/nowytarg</w:t>
      </w:r>
    </w:p>
    <w:p w14:paraId="46E65BB3" w14:textId="77777777" w:rsidR="006F3938" w:rsidRDefault="005272B5">
      <w:pPr>
        <w:pStyle w:val="Standard"/>
      </w:pPr>
      <w:r>
        <w:t>2/ a/a</w:t>
      </w:r>
    </w:p>
    <w:sectPr w:rsidR="006F3938">
      <w:headerReference w:type="default" r:id="rId7"/>
      <w:footerReference w:type="default" r:id="rId8"/>
      <w:pgSz w:w="11906" w:h="16838"/>
      <w:pgMar w:top="1734" w:right="1417" w:bottom="1417" w:left="1417" w:header="26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F8B3" w14:textId="77777777" w:rsidR="005272B5" w:rsidRDefault="005272B5">
      <w:r>
        <w:separator/>
      </w:r>
    </w:p>
  </w:endnote>
  <w:endnote w:type="continuationSeparator" w:id="0">
    <w:p w14:paraId="68AE01D7" w14:textId="77777777" w:rsidR="005272B5" w:rsidRDefault="0052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0">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B248" w14:textId="77777777" w:rsidR="005272B5" w:rsidRDefault="005272B5">
    <w:pPr>
      <w:pStyle w:val="Nagwek"/>
      <w:tabs>
        <w:tab w:val="clear" w:pos="4819"/>
        <w:tab w:val="clear" w:pos="9638"/>
        <w:tab w:val="left" w:pos="0"/>
        <w:tab w:val="center" w:pos="4536"/>
        <w:tab w:val="right" w:pos="9072"/>
      </w:tabs>
      <w:rPr>
        <w:b/>
        <w:color w:val="000080"/>
        <w:sz w:val="20"/>
      </w:rPr>
    </w:pPr>
    <w:r>
      <w:rPr>
        <w:b/>
        <w:color w:val="000080"/>
        <w:sz w:val="20"/>
      </w:rPr>
      <w:t xml:space="preserve">                                                                Referat ds. Zamówień Publicznych</w:t>
    </w:r>
  </w:p>
  <w:p w14:paraId="54524886" w14:textId="77777777" w:rsidR="005272B5" w:rsidRDefault="005272B5">
    <w:pPr>
      <w:pStyle w:val="Nagwek"/>
      <w:tabs>
        <w:tab w:val="clear" w:pos="4819"/>
        <w:tab w:val="clear" w:pos="9638"/>
        <w:tab w:val="left" w:pos="0"/>
        <w:tab w:val="center" w:pos="4536"/>
        <w:tab w:val="right" w:pos="9072"/>
      </w:tabs>
      <w:jc w:val="both"/>
      <w:rPr>
        <w:sz w:val="16"/>
        <w:lang w:val="de-DE"/>
      </w:rPr>
    </w:pPr>
    <w:r>
      <w:rPr>
        <w:sz w:val="16"/>
        <w:lang w:val="de-DE"/>
      </w:rPr>
      <w:t>tel.  (18) 26-11-244</w:t>
    </w:r>
    <w:r>
      <w:rPr>
        <w:sz w:val="16"/>
        <w:lang w:val="de-DE"/>
      </w:rPr>
      <w:tab/>
    </w:r>
    <w:proofErr w:type="spellStart"/>
    <w:r>
      <w:rPr>
        <w:sz w:val="16"/>
        <w:lang w:val="de-DE"/>
      </w:rPr>
      <w:t>e-mail</w:t>
    </w:r>
    <w:proofErr w:type="spellEnd"/>
    <w:r>
      <w:rPr>
        <w:sz w:val="16"/>
        <w:lang w:val="de-DE"/>
      </w:rPr>
      <w:t>: umnt@um.nowytarg.pl</w:t>
    </w:r>
  </w:p>
  <w:p w14:paraId="73B52ABF" w14:textId="77777777" w:rsidR="005272B5" w:rsidRDefault="005272B5">
    <w:pPr>
      <w:pStyle w:val="Nagwek"/>
      <w:tabs>
        <w:tab w:val="clear" w:pos="4819"/>
        <w:tab w:val="clear" w:pos="9638"/>
        <w:tab w:val="left" w:pos="0"/>
        <w:tab w:val="center" w:pos="4536"/>
        <w:tab w:val="right" w:pos="9072"/>
      </w:tabs>
      <w:jc w:val="both"/>
      <w:rPr>
        <w:sz w:val="16"/>
      </w:rPr>
    </w:pPr>
    <w:r>
      <w:rPr>
        <w:sz w:val="16"/>
      </w:rPr>
      <w:t>fax  (18) 26-62-312</w:t>
    </w:r>
    <w:r>
      <w:rPr>
        <w:sz w:val="16"/>
      </w:rPr>
      <w:tab/>
      <w:t>www.nowytarg.pl</w:t>
    </w:r>
    <w:r>
      <w:rPr>
        <w:sz w:val="16"/>
      </w:rPr>
      <w:tab/>
      <w:t>pokój Nr 301, III piętro</w:t>
    </w:r>
  </w:p>
  <w:p w14:paraId="0835DB13" w14:textId="77777777" w:rsidR="005272B5" w:rsidRDefault="005272B5">
    <w:pPr>
      <w:pStyle w:val="Nagwek"/>
      <w:tabs>
        <w:tab w:val="clear" w:pos="4819"/>
        <w:tab w:val="clear" w:pos="9638"/>
        <w:tab w:val="left" w:pos="0"/>
        <w:tab w:val="center" w:pos="4536"/>
        <w:tab w:val="right" w:pos="9072"/>
      </w:tabs>
      <w:jc w:val="both"/>
      <w:rPr>
        <w:sz w:val="16"/>
      </w:rPr>
    </w:pPr>
    <w:r>
      <w:rPr>
        <w:sz w:val="16"/>
      </w:rPr>
      <w:tab/>
    </w:r>
    <w:r>
      <w:rPr>
        <w:sz w:val="16"/>
      </w:rPr>
      <w:fldChar w:fldCharType="begin"/>
    </w:r>
    <w:r>
      <w:rPr>
        <w:sz w:val="16"/>
      </w:rPr>
      <w:instrText xml:space="preserve"> PAGE </w:instrText>
    </w:r>
    <w:r>
      <w:rPr>
        <w:sz w:val="16"/>
      </w:rP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C3F8" w14:textId="77777777" w:rsidR="005272B5" w:rsidRDefault="005272B5">
      <w:r>
        <w:rPr>
          <w:color w:val="000000"/>
        </w:rPr>
        <w:separator/>
      </w:r>
    </w:p>
  </w:footnote>
  <w:footnote w:type="continuationSeparator" w:id="0">
    <w:p w14:paraId="230216E2" w14:textId="77777777" w:rsidR="005272B5" w:rsidRDefault="00527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9368" w14:textId="77777777" w:rsidR="005272B5" w:rsidRDefault="00264332">
    <w:pPr>
      <w:pStyle w:val="Nagwek"/>
      <w:ind w:left="1418"/>
      <w:rPr>
        <w:b/>
        <w:iCs/>
        <w:color w:val="000080"/>
        <w:sz w:val="28"/>
      </w:rPr>
    </w:pPr>
    <w:r>
      <w:rPr>
        <w:b/>
        <w:iCs/>
        <w:color w:val="000080"/>
        <w:sz w:val="28"/>
      </w:rPr>
      <w:object w:dxaOrig="1440" w:dyaOrig="1440" w14:anchorId="7BFE5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s1037" type="#_x0000_t75" alt="obiekt OLE" style="position:absolute;left:0;text-align:left;margin-left:0;margin-top:-.55pt;width:41.85pt;height:63.05pt;z-index:251663872;visibility:visible;mso-wrap-style:square;mso-position-horizontal-relative:text;mso-position-vertical-relative:text">
          <v:imagedata r:id="rId1" o:title="obiekt OLE"/>
          <w10:wrap type="square"/>
        </v:shape>
        <o:OLEObject Type="Embed" ProgID="Unknown" ShapeID="Obiekt1" DrawAspect="Content" ObjectID="_1804926662" r:id="rId2"/>
      </w:object>
    </w:r>
    <w:r w:rsidR="005272B5">
      <w:rPr>
        <w:b/>
        <w:iCs/>
        <w:color w:val="000080"/>
        <w:sz w:val="28"/>
      </w:rPr>
      <w:t>Burmistrz Miasta Nowy Targ</w:t>
    </w:r>
    <w:r>
      <w:rPr>
        <w:b/>
        <w:iCs/>
        <w:color w:val="000080"/>
        <w:sz w:val="28"/>
      </w:rPr>
      <w:object w:dxaOrig="1440" w:dyaOrig="1440" w14:anchorId="67CC0ADF">
        <v:shape id="Obiekt11" o:spid="_x0000_s1036" type="#_x0000_t75" alt="obiekt OLE" style="position:absolute;left:0;text-align:left;margin-left:0;margin-top:-.55pt;width:41.85pt;height:63.05pt;z-index:251662848;visibility:visible;mso-wrap-style:square;mso-position-horizontal-relative:text;mso-position-vertical-relative:text">
          <v:imagedata r:id="rId1" o:title="obiekt OLE"/>
          <w10:wrap type="square"/>
        </v:shape>
        <o:OLEObject Type="Embed" ProgID="Unknown" ShapeID="Obiekt11" DrawAspect="Content" ObjectID="_1804926663" r:id="rId3"/>
      </w:object>
    </w:r>
    <w:r>
      <w:rPr>
        <w:b/>
        <w:iCs/>
        <w:color w:val="000080"/>
        <w:sz w:val="28"/>
      </w:rPr>
      <w:object w:dxaOrig="1440" w:dyaOrig="1440" w14:anchorId="19C9F4F1">
        <v:shape id="Obiekt10" o:spid="_x0000_s1035" type="#_x0000_t75" alt="obiekt OLE" style="position:absolute;left:0;text-align:left;margin-left:0;margin-top:-.55pt;width:41.85pt;height:63.05pt;z-index:251661824;visibility:visible;mso-wrap-style:square;mso-position-horizontal-relative:text;mso-position-vertical-relative:text">
          <v:imagedata r:id="rId1" o:title="obiekt OLE"/>
          <w10:wrap type="square"/>
        </v:shape>
        <o:OLEObject Type="Embed" ProgID="Unknown" ShapeID="Obiekt10" DrawAspect="Content" ObjectID="_1804926664" r:id="rId4"/>
      </w:object>
    </w:r>
    <w:r>
      <w:rPr>
        <w:b/>
        <w:iCs/>
        <w:color w:val="000080"/>
        <w:sz w:val="28"/>
      </w:rPr>
      <w:object w:dxaOrig="1440" w:dyaOrig="1440" w14:anchorId="73C6728D">
        <v:shape id="Obiekt9" o:spid="_x0000_s1034" type="#_x0000_t75" alt="obiekt OLE" style="position:absolute;left:0;text-align:left;margin-left:0;margin-top:-.55pt;width:41.85pt;height:63.05pt;z-index:251660800;visibility:visible;mso-wrap-style:square;mso-position-horizontal-relative:text;mso-position-vertical-relative:text">
          <v:imagedata r:id="rId1" o:title="obiekt OLE"/>
          <w10:wrap type="square"/>
        </v:shape>
        <o:OLEObject Type="Embed" ProgID="Unknown" ShapeID="Obiekt9" DrawAspect="Content" ObjectID="_1804926665" r:id="rId5"/>
      </w:object>
    </w:r>
    <w:r>
      <w:rPr>
        <w:b/>
        <w:iCs/>
        <w:color w:val="000080"/>
        <w:sz w:val="28"/>
      </w:rPr>
      <w:object w:dxaOrig="1440" w:dyaOrig="1440" w14:anchorId="1F25837C">
        <v:shape id="Obiekt8" o:spid="_x0000_s1033" type="#_x0000_t75" alt="obiekt OLE" style="position:absolute;left:0;text-align:left;margin-left:0;margin-top:-.55pt;width:41.85pt;height:63.05pt;z-index:251659776;visibility:visible;mso-wrap-style:square;mso-position-horizontal-relative:text;mso-position-vertical-relative:text">
          <v:imagedata r:id="rId1" o:title="obiekt OLE"/>
          <w10:wrap type="square"/>
        </v:shape>
        <o:OLEObject Type="Embed" ProgID="Unknown" ShapeID="Obiekt8" DrawAspect="Content" ObjectID="_1804926666" r:id="rId6"/>
      </w:object>
    </w:r>
    <w:r>
      <w:rPr>
        <w:b/>
        <w:iCs/>
        <w:color w:val="000080"/>
        <w:sz w:val="28"/>
      </w:rPr>
      <w:object w:dxaOrig="1440" w:dyaOrig="1440" w14:anchorId="7D31F40D">
        <v:shape id="Obiekt7" o:spid="_x0000_s1032" type="#_x0000_t75" alt="obiekt OLE" style="position:absolute;left:0;text-align:left;margin-left:0;margin-top:-.55pt;width:41.85pt;height:63.05pt;z-index:251658752;visibility:visible;mso-wrap-style:square;mso-position-horizontal-relative:text;mso-position-vertical-relative:text">
          <v:imagedata r:id="rId1" o:title="obiekt OLE"/>
          <w10:wrap type="square"/>
        </v:shape>
        <o:OLEObject Type="Embed" ProgID="Unknown" ShapeID="Obiekt7" DrawAspect="Content" ObjectID="_1804926667" r:id="rId7"/>
      </w:object>
    </w:r>
    <w:r>
      <w:rPr>
        <w:b/>
        <w:iCs/>
        <w:color w:val="000080"/>
        <w:sz w:val="28"/>
      </w:rPr>
      <w:object w:dxaOrig="1440" w:dyaOrig="1440" w14:anchorId="006C85EC">
        <v:shape id="Obiekt6" o:spid="_x0000_s1031" type="#_x0000_t75" alt="obiekt OLE" style="position:absolute;left:0;text-align:left;margin-left:0;margin-top:-.55pt;width:41.85pt;height:63.05pt;z-index:251657728;visibility:visible;mso-wrap-style:square;mso-position-horizontal-relative:text;mso-position-vertical-relative:text">
          <v:imagedata r:id="rId1" o:title="obiekt OLE"/>
          <w10:wrap type="square"/>
        </v:shape>
        <o:OLEObject Type="Embed" ProgID="Unknown" ShapeID="Obiekt6" DrawAspect="Content" ObjectID="_1804926668" r:id="rId8"/>
      </w:object>
    </w:r>
    <w:r>
      <w:rPr>
        <w:b/>
        <w:iCs/>
        <w:color w:val="000080"/>
        <w:sz w:val="28"/>
      </w:rPr>
      <w:object w:dxaOrig="1440" w:dyaOrig="1440" w14:anchorId="5E5A5120">
        <v:shape id="Obiekt5" o:spid="_x0000_s1030" type="#_x0000_t75" alt="obiekt OLE" style="position:absolute;left:0;text-align:left;margin-left:0;margin-top:-.55pt;width:41.85pt;height:63.05pt;z-index:251656704;visibility:visible;mso-wrap-style:square;mso-position-horizontal-relative:text;mso-position-vertical-relative:text">
          <v:imagedata r:id="rId1" o:title="obiekt OLE"/>
          <w10:wrap type="square"/>
        </v:shape>
        <o:OLEObject Type="Embed" ProgID="Unknown" ShapeID="Obiekt5" DrawAspect="Content" ObjectID="_1804926669" r:id="rId9"/>
      </w:object>
    </w:r>
    <w:r>
      <w:rPr>
        <w:b/>
        <w:iCs/>
        <w:color w:val="000080"/>
        <w:sz w:val="28"/>
      </w:rPr>
      <w:object w:dxaOrig="1440" w:dyaOrig="1440" w14:anchorId="49E720C7">
        <v:shape id="Obiekt4" o:spid="_x0000_s1029" type="#_x0000_t75" alt="obiekt OLE" style="position:absolute;left:0;text-align:left;margin-left:0;margin-top:-.55pt;width:41.85pt;height:63.05pt;z-index:251655680;visibility:visible;mso-wrap-style:square;mso-position-horizontal-relative:text;mso-position-vertical-relative:text">
          <v:imagedata r:id="rId1" o:title="obiekt OLE"/>
          <w10:wrap type="square"/>
        </v:shape>
        <o:OLEObject Type="Embed" ProgID="Unknown" ShapeID="Obiekt4" DrawAspect="Content" ObjectID="_1804926670" r:id="rId10"/>
      </w:object>
    </w:r>
    <w:r>
      <w:rPr>
        <w:b/>
        <w:iCs/>
        <w:color w:val="000080"/>
        <w:sz w:val="28"/>
      </w:rPr>
      <w:object w:dxaOrig="1440" w:dyaOrig="1440" w14:anchorId="42E143AA">
        <v:shape id="Obiekt3" o:spid="_x0000_s1028" type="#_x0000_t75" alt="obiekt OLE" style="position:absolute;left:0;text-align:left;margin-left:0;margin-top:-.55pt;width:41.85pt;height:63.05pt;z-index:251654656;visibility:visible;mso-wrap-style:square;mso-position-horizontal-relative:text;mso-position-vertical-relative:text">
          <v:imagedata r:id="rId1" o:title="obiekt OLE"/>
          <w10:wrap type="square"/>
        </v:shape>
        <o:OLEObject Type="Embed" ProgID="Unknown" ShapeID="Obiekt3" DrawAspect="Content" ObjectID="_1804926671" r:id="rId11"/>
      </w:object>
    </w:r>
    <w:r>
      <w:rPr>
        <w:b/>
        <w:iCs/>
        <w:color w:val="000080"/>
        <w:sz w:val="28"/>
      </w:rPr>
      <w:object w:dxaOrig="1440" w:dyaOrig="1440" w14:anchorId="56EDB4A3">
        <v:shape id="Obiekt12" o:spid="_x0000_s1027" type="#_x0000_t75" alt="obiekt OLE" style="position:absolute;left:0;text-align:left;margin-left:0;margin-top:-.55pt;width:41.85pt;height:63.05pt;z-index:251653632;visibility:visible;mso-wrap-style:square;mso-position-horizontal-relative:text;mso-position-vertical-relative:text">
          <v:imagedata r:id="rId1" o:title="obiekt OLE"/>
          <w10:wrap type="square"/>
        </v:shape>
        <o:OLEObject Type="Embed" ProgID="Unknown" ShapeID="Obiekt12" DrawAspect="Content" ObjectID="_1804926672" r:id="rId12"/>
      </w:object>
    </w:r>
    <w:r>
      <w:rPr>
        <w:b/>
        <w:iCs/>
        <w:color w:val="000080"/>
        <w:sz w:val="28"/>
      </w:rPr>
      <w:object w:dxaOrig="1440" w:dyaOrig="1440" w14:anchorId="7837AFEC">
        <v:shape id="Obiekt13" o:spid="_x0000_s1026" type="#_x0000_t75" alt="obiekt OLE" style="position:absolute;left:0;text-align:left;margin-left:0;margin-top:-.55pt;width:41.85pt;height:63.05pt;z-index:251652608;visibility:visible;mso-wrap-style:square;mso-position-horizontal-relative:text;mso-position-vertical-relative:text">
          <v:imagedata r:id="rId1" o:title="obiekt OLE"/>
          <w10:wrap type="square"/>
        </v:shape>
        <o:OLEObject Type="Embed" ProgID="Unknown" ShapeID="Obiekt13" DrawAspect="Content" ObjectID="_1804926673" r:id="rId13"/>
      </w:object>
    </w:r>
    <w:r>
      <w:rPr>
        <w:b/>
        <w:iCs/>
        <w:color w:val="000080"/>
        <w:sz w:val="28"/>
      </w:rPr>
      <w:object w:dxaOrig="1440" w:dyaOrig="1440" w14:anchorId="0B64E15B">
        <v:shape id="Obiekt14" o:spid="_x0000_s1025" type="#_x0000_t75" alt="obiekt OLE" style="position:absolute;left:0;text-align:left;margin-left:.1pt;margin-top:6.05pt;width:41.75pt;height:52.05pt;z-index:251651584;visibility:visible;mso-wrap-style:square;mso-position-horizontal-relative:text;mso-position-vertical-relative:text">
          <v:imagedata r:id="rId1" o:title="obiekt OLE"/>
          <w10:wrap type="square"/>
        </v:shape>
        <o:OLEObject Type="Embed" ProgID="Unknown" ShapeID="Obiekt14" DrawAspect="Content" ObjectID="_1804926674" r:id="rId14"/>
      </w:object>
    </w:r>
  </w:p>
  <w:p w14:paraId="6CA2AC82" w14:textId="77777777" w:rsidR="005272B5" w:rsidRDefault="005272B5">
    <w:pPr>
      <w:pStyle w:val="Nagwek"/>
      <w:spacing w:line="360" w:lineRule="auto"/>
      <w:ind w:left="1418"/>
      <w:rPr>
        <w:bCs/>
        <w:iCs/>
        <w:color w:val="000000"/>
        <w:sz w:val="20"/>
      </w:rPr>
    </w:pPr>
    <w:r>
      <w:rPr>
        <w:bCs/>
        <w:iCs/>
        <w:color w:val="000000"/>
        <w:sz w:val="20"/>
      </w:rPr>
      <w:t>34-400 Nowy Targ, ul. Krzywa 1</w:t>
    </w:r>
  </w:p>
  <w:p w14:paraId="37C0EC1E" w14:textId="77777777" w:rsidR="005272B5" w:rsidRDefault="005272B5">
    <w:pPr>
      <w:pStyle w:val="Nagwek"/>
      <w:pBdr>
        <w:bottom w:val="single" w:sz="6" w:space="1" w:color="000000"/>
      </w:pBdr>
      <w:tabs>
        <w:tab w:val="clear" w:pos="4819"/>
        <w:tab w:val="clear" w:pos="9638"/>
        <w:tab w:val="left" w:pos="2716"/>
        <w:tab w:val="center" w:pos="5976"/>
        <w:tab w:val="right" w:pos="10512"/>
      </w:tabs>
      <w:ind w:left="1440" w:hanging="22"/>
      <w:rPr>
        <w:bCs/>
        <w:i/>
        <w:color w:val="000000"/>
      </w:rPr>
    </w:pPr>
    <w:r>
      <w:rPr>
        <w:bCs/>
        <w:i/>
        <w:color w:val="000000"/>
      </w:rPr>
      <w:tab/>
    </w:r>
  </w:p>
  <w:p w14:paraId="7F2EFC28" w14:textId="77777777" w:rsidR="005272B5" w:rsidRDefault="005272B5">
    <w:pPr>
      <w:pStyle w:val="Nagwek"/>
      <w:pBdr>
        <w:bottom w:val="single" w:sz="6" w:space="1" w:color="000000"/>
      </w:pBdr>
      <w:tabs>
        <w:tab w:val="clear" w:pos="4819"/>
        <w:tab w:val="clear" w:pos="9638"/>
        <w:tab w:val="left" w:pos="2716"/>
        <w:tab w:val="center" w:pos="5976"/>
        <w:tab w:val="right" w:pos="10512"/>
      </w:tabs>
      <w:ind w:left="1440" w:hanging="22"/>
      <w:rPr>
        <w:bCs/>
        <w:i/>
        <w:color w:val="000000"/>
      </w:rPr>
    </w:pPr>
    <w:r>
      <w:rPr>
        <w:bCs/>
        <w: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CFD"/>
    <w:multiLevelType w:val="multilevel"/>
    <w:tmpl w:val="9378D924"/>
    <w:styleLink w:val="WW8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430A"/>
    <w:multiLevelType w:val="multilevel"/>
    <w:tmpl w:val="256262EA"/>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C0162"/>
    <w:multiLevelType w:val="multilevel"/>
    <w:tmpl w:val="67F209E4"/>
    <w:styleLink w:val="WWNum2"/>
    <w:lvl w:ilvl="0">
      <w:numFmt w:val="bullet"/>
      <w:lvlText w:val="•"/>
      <w:lvlJc w:val="left"/>
      <w:rPr>
        <w:rFonts w:eastAsia="Arial"/>
      </w:rPr>
    </w:lvl>
    <w:lvl w:ilvl="1">
      <w:numFmt w:val="decimal"/>
      <w:lvlText w:val="%2"/>
      <w:lvlJc w:val="left"/>
      <w:rPr>
        <w:rFonts w:cs="0"/>
      </w:rPr>
    </w:lvl>
    <w:lvl w:ilvl="2">
      <w:numFmt w:val="decimal"/>
      <w:lvlText w:val="%3"/>
      <w:lvlJc w:val="left"/>
      <w:rPr>
        <w:rFonts w:cs="0"/>
      </w:rPr>
    </w:lvl>
    <w:lvl w:ilvl="3">
      <w:numFmt w:val="decimal"/>
      <w:lvlText w:val="%4"/>
      <w:lvlJc w:val="left"/>
      <w:rPr>
        <w:rFonts w:cs="0"/>
      </w:rPr>
    </w:lvl>
    <w:lvl w:ilvl="4">
      <w:numFmt w:val="decimal"/>
      <w:lvlText w:val="%5"/>
      <w:lvlJc w:val="left"/>
      <w:rPr>
        <w:rFonts w:cs="0"/>
      </w:rPr>
    </w:lvl>
    <w:lvl w:ilvl="5">
      <w:numFmt w:val="decimal"/>
      <w:lvlText w:val="%6"/>
      <w:lvlJc w:val="left"/>
      <w:rPr>
        <w:rFonts w:cs="0"/>
      </w:rPr>
    </w:lvl>
    <w:lvl w:ilvl="6">
      <w:numFmt w:val="decimal"/>
      <w:lvlText w:val="%7"/>
      <w:lvlJc w:val="left"/>
      <w:rPr>
        <w:rFonts w:cs="0"/>
      </w:rPr>
    </w:lvl>
    <w:lvl w:ilvl="7">
      <w:numFmt w:val="decimal"/>
      <w:lvlText w:val="%8"/>
      <w:lvlJc w:val="left"/>
      <w:rPr>
        <w:rFonts w:cs="0"/>
      </w:rPr>
    </w:lvl>
    <w:lvl w:ilvl="8">
      <w:numFmt w:val="decimal"/>
      <w:lvlText w:val="%9"/>
      <w:lvlJc w:val="left"/>
      <w:rPr>
        <w:rFonts w:cs="0"/>
      </w:rPr>
    </w:lvl>
  </w:abstractNum>
  <w:abstractNum w:abstractNumId="3" w15:restartNumberingAfterBreak="0">
    <w:nsid w:val="0FAF60C4"/>
    <w:multiLevelType w:val="multilevel"/>
    <w:tmpl w:val="22F2E702"/>
    <w:styleLink w:val="WW8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D82ECF"/>
    <w:multiLevelType w:val="multilevel"/>
    <w:tmpl w:val="FCE6BF4C"/>
    <w:styleLink w:val="WW8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B0227E"/>
    <w:multiLevelType w:val="multilevel"/>
    <w:tmpl w:val="0C187A72"/>
    <w:styleLink w:val="WWNum1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5F34BA"/>
    <w:multiLevelType w:val="multilevel"/>
    <w:tmpl w:val="EE804E76"/>
    <w:styleLink w:val="WW8Num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2E18E4"/>
    <w:multiLevelType w:val="multilevel"/>
    <w:tmpl w:val="280E1C5A"/>
    <w:styleLink w:val="WWNum1aaaaa"/>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2251555"/>
    <w:multiLevelType w:val="multilevel"/>
    <w:tmpl w:val="407E9D9A"/>
    <w:styleLink w:val="WW8Num5"/>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C810D6"/>
    <w:multiLevelType w:val="multilevel"/>
    <w:tmpl w:val="2F76358E"/>
    <w:styleLink w:val="WW8Num1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CA20A7"/>
    <w:multiLevelType w:val="multilevel"/>
    <w:tmpl w:val="B98E1E92"/>
    <w:styleLink w:val="WW8Num3"/>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A63E83"/>
    <w:multiLevelType w:val="multilevel"/>
    <w:tmpl w:val="D3307180"/>
    <w:styleLink w:val="WWNum1aaaa"/>
    <w:lvl w:ilvl="0">
      <w:start w:val="1"/>
      <w:numFmt w:val="decimal"/>
      <w:lvlText w:val="%1."/>
      <w:lvlJc w:val="left"/>
      <w:rPr>
        <w:rFonts w:ascii="Arial" w:eastAsia="Arial" w:hAnsi="Arial" w:cs="Arial"/>
      </w:rPr>
    </w:lvl>
    <w:lvl w:ilvl="1">
      <w:numFmt w:val="decimal"/>
      <w:lvlText w:val="%2"/>
      <w:lvlJc w:val="left"/>
      <w:rPr>
        <w:rFonts w:cs="0"/>
      </w:rPr>
    </w:lvl>
    <w:lvl w:ilvl="2">
      <w:numFmt w:val="decimal"/>
      <w:lvlText w:val="%3"/>
      <w:lvlJc w:val="left"/>
      <w:rPr>
        <w:rFonts w:cs="0"/>
      </w:rPr>
    </w:lvl>
    <w:lvl w:ilvl="3">
      <w:numFmt w:val="decimal"/>
      <w:lvlText w:val="%4"/>
      <w:lvlJc w:val="left"/>
      <w:rPr>
        <w:rFonts w:cs="0"/>
      </w:rPr>
    </w:lvl>
    <w:lvl w:ilvl="4">
      <w:numFmt w:val="decimal"/>
      <w:lvlText w:val="%5"/>
      <w:lvlJc w:val="left"/>
      <w:rPr>
        <w:rFonts w:cs="0"/>
      </w:rPr>
    </w:lvl>
    <w:lvl w:ilvl="5">
      <w:numFmt w:val="decimal"/>
      <w:lvlText w:val="%6"/>
      <w:lvlJc w:val="left"/>
      <w:rPr>
        <w:rFonts w:cs="0"/>
      </w:rPr>
    </w:lvl>
    <w:lvl w:ilvl="6">
      <w:numFmt w:val="decimal"/>
      <w:lvlText w:val="%7"/>
      <w:lvlJc w:val="left"/>
      <w:rPr>
        <w:rFonts w:cs="0"/>
      </w:rPr>
    </w:lvl>
    <w:lvl w:ilvl="7">
      <w:numFmt w:val="decimal"/>
      <w:lvlText w:val="%8"/>
      <w:lvlJc w:val="left"/>
      <w:rPr>
        <w:rFonts w:cs="0"/>
      </w:rPr>
    </w:lvl>
    <w:lvl w:ilvl="8">
      <w:numFmt w:val="decimal"/>
      <w:lvlText w:val="%9"/>
      <w:lvlJc w:val="left"/>
      <w:rPr>
        <w:rFonts w:cs="0"/>
      </w:rPr>
    </w:lvl>
  </w:abstractNum>
  <w:abstractNum w:abstractNumId="12" w15:restartNumberingAfterBreak="0">
    <w:nsid w:val="38ED0EE0"/>
    <w:multiLevelType w:val="multilevel"/>
    <w:tmpl w:val="D11CB178"/>
    <w:styleLink w:val="WW8Num23"/>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8FD113F"/>
    <w:multiLevelType w:val="multilevel"/>
    <w:tmpl w:val="9B92B120"/>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46EE4EA8"/>
    <w:multiLevelType w:val="multilevel"/>
    <w:tmpl w:val="AC805EB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B1D65"/>
    <w:multiLevelType w:val="multilevel"/>
    <w:tmpl w:val="C7C8E254"/>
    <w:styleLink w:val="WW8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3F5C3D"/>
    <w:multiLevelType w:val="multilevel"/>
    <w:tmpl w:val="D63AF57A"/>
    <w:styleLink w:val="WWNum1aaa"/>
    <w:lvl w:ilvl="0">
      <w:start w:val="1"/>
      <w:numFmt w:val="decimal"/>
      <w:lvlText w:val="%1."/>
      <w:lvlJc w:val="left"/>
      <w:rPr>
        <w:rFonts w:ascii="Arial" w:eastAsia="Arial" w:hAnsi="Arial" w:cs="Arial"/>
        <w:b/>
      </w:rPr>
    </w:lvl>
    <w:lvl w:ilvl="1">
      <w:numFmt w:val="decimal"/>
      <w:lvlText w:val="%2"/>
      <w:lvlJc w:val="left"/>
      <w:rPr>
        <w:rFonts w:cs="0"/>
      </w:rPr>
    </w:lvl>
    <w:lvl w:ilvl="2">
      <w:numFmt w:val="decimal"/>
      <w:lvlText w:val="%3"/>
      <w:lvlJc w:val="left"/>
      <w:rPr>
        <w:rFonts w:cs="0"/>
      </w:rPr>
    </w:lvl>
    <w:lvl w:ilvl="3">
      <w:numFmt w:val="decimal"/>
      <w:lvlText w:val="%4"/>
      <w:lvlJc w:val="left"/>
      <w:rPr>
        <w:rFonts w:cs="0"/>
      </w:rPr>
    </w:lvl>
    <w:lvl w:ilvl="4">
      <w:numFmt w:val="decimal"/>
      <w:lvlText w:val="%5"/>
      <w:lvlJc w:val="left"/>
      <w:rPr>
        <w:rFonts w:cs="0"/>
      </w:rPr>
    </w:lvl>
    <w:lvl w:ilvl="5">
      <w:numFmt w:val="decimal"/>
      <w:lvlText w:val="%6"/>
      <w:lvlJc w:val="left"/>
      <w:rPr>
        <w:rFonts w:cs="0"/>
      </w:rPr>
    </w:lvl>
    <w:lvl w:ilvl="6">
      <w:numFmt w:val="decimal"/>
      <w:lvlText w:val="%7"/>
      <w:lvlJc w:val="left"/>
      <w:rPr>
        <w:rFonts w:cs="0"/>
      </w:rPr>
    </w:lvl>
    <w:lvl w:ilvl="7">
      <w:numFmt w:val="decimal"/>
      <w:lvlText w:val="%8"/>
      <w:lvlJc w:val="left"/>
      <w:rPr>
        <w:rFonts w:cs="0"/>
      </w:rPr>
    </w:lvl>
    <w:lvl w:ilvl="8">
      <w:numFmt w:val="decimal"/>
      <w:lvlText w:val="%9"/>
      <w:lvlJc w:val="left"/>
      <w:rPr>
        <w:rFonts w:cs="0"/>
      </w:rPr>
    </w:lvl>
  </w:abstractNum>
  <w:abstractNum w:abstractNumId="17" w15:restartNumberingAfterBreak="0">
    <w:nsid w:val="54755946"/>
    <w:multiLevelType w:val="multilevel"/>
    <w:tmpl w:val="41B41F96"/>
    <w:styleLink w:val="WW8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88F314F"/>
    <w:multiLevelType w:val="multilevel"/>
    <w:tmpl w:val="A21A3B00"/>
    <w:styleLink w:val="WW8Num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716CDC"/>
    <w:multiLevelType w:val="multilevel"/>
    <w:tmpl w:val="E93C4F78"/>
    <w:styleLink w:val="WW8Num10"/>
    <w:lvl w:ilvl="0">
      <w:start w:val="1"/>
      <w:numFmt w:val="decimal"/>
      <w:lvlText w:val="%1."/>
      <w:lvlJc w:val="left"/>
      <w:pPr>
        <w:ind w:left="360" w:hanging="360"/>
      </w:pPr>
      <w:rPr>
        <w:rFonts w:ascii="Arial" w:hAnsi="Arial" w:cs="Arial"/>
        <w:i w:val="0"/>
        <w:sz w:val="18"/>
        <w:szCs w:val="18"/>
      </w:rPr>
    </w:lvl>
    <w:lvl w:ilvl="1">
      <w:start w:val="1"/>
      <w:numFmt w:val="decimal"/>
      <w:lvlText w:val="%2."/>
      <w:lvlJc w:val="left"/>
      <w:pPr>
        <w:ind w:left="1080" w:hanging="360"/>
      </w:pPr>
      <w:rPr>
        <w:i w:val="0"/>
        <w:sz w:val="18"/>
        <w:szCs w:val="18"/>
      </w:rPr>
    </w:lvl>
    <w:lvl w:ilvl="2">
      <w:numFmt w:val="bullet"/>
      <w:lvlText w:val=""/>
      <w:lvlJc w:val="left"/>
      <w:pPr>
        <w:ind w:left="1080" w:hanging="360"/>
      </w:pPr>
      <w:rPr>
        <w:rFonts w:ascii="Symbol" w:hAnsi="Symbol" w:cs="Symbol"/>
        <w:i w:val="0"/>
        <w:sz w:val="18"/>
        <w:szCs w:val="18"/>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ABE700F"/>
    <w:multiLevelType w:val="multilevel"/>
    <w:tmpl w:val="60389FB4"/>
    <w:styleLink w:val="WW8Num2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D0C6B95"/>
    <w:multiLevelType w:val="multilevel"/>
    <w:tmpl w:val="F73EC6F4"/>
    <w:styleLink w:val="WW8Num1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15:restartNumberingAfterBreak="0">
    <w:nsid w:val="5EC44F0C"/>
    <w:multiLevelType w:val="multilevel"/>
    <w:tmpl w:val="A6663F12"/>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672E2"/>
    <w:multiLevelType w:val="multilevel"/>
    <w:tmpl w:val="4C583BC4"/>
    <w:styleLink w:val="WWNum1aa"/>
    <w:lvl w:ilvl="0">
      <w:start w:val="1"/>
      <w:numFmt w:val="decimal"/>
      <w:lvlText w:val="%1."/>
      <w:lvlJc w:val="left"/>
      <w:rPr>
        <w:rFonts w:ascii="Arial" w:eastAsia="Arial" w:hAnsi="Arial" w:cs="Arial"/>
      </w:rPr>
    </w:lvl>
    <w:lvl w:ilvl="1">
      <w:numFmt w:val="decimal"/>
      <w:lvlText w:val="%2"/>
      <w:lvlJc w:val="left"/>
      <w:rPr>
        <w:rFonts w:cs="0"/>
      </w:rPr>
    </w:lvl>
    <w:lvl w:ilvl="2">
      <w:numFmt w:val="decimal"/>
      <w:lvlText w:val="%3"/>
      <w:lvlJc w:val="left"/>
      <w:rPr>
        <w:rFonts w:cs="0"/>
      </w:rPr>
    </w:lvl>
    <w:lvl w:ilvl="3">
      <w:numFmt w:val="decimal"/>
      <w:lvlText w:val="%4"/>
      <w:lvlJc w:val="left"/>
      <w:rPr>
        <w:rFonts w:cs="0"/>
      </w:rPr>
    </w:lvl>
    <w:lvl w:ilvl="4">
      <w:numFmt w:val="decimal"/>
      <w:lvlText w:val="%5"/>
      <w:lvlJc w:val="left"/>
      <w:rPr>
        <w:rFonts w:cs="0"/>
      </w:rPr>
    </w:lvl>
    <w:lvl w:ilvl="5">
      <w:numFmt w:val="decimal"/>
      <w:lvlText w:val="%6"/>
      <w:lvlJc w:val="left"/>
      <w:rPr>
        <w:rFonts w:cs="0"/>
      </w:rPr>
    </w:lvl>
    <w:lvl w:ilvl="6">
      <w:numFmt w:val="decimal"/>
      <w:lvlText w:val="%7"/>
      <w:lvlJc w:val="left"/>
      <w:rPr>
        <w:rFonts w:cs="0"/>
      </w:rPr>
    </w:lvl>
    <w:lvl w:ilvl="7">
      <w:numFmt w:val="decimal"/>
      <w:lvlText w:val="%8"/>
      <w:lvlJc w:val="left"/>
      <w:rPr>
        <w:rFonts w:cs="0"/>
      </w:rPr>
    </w:lvl>
    <w:lvl w:ilvl="8">
      <w:numFmt w:val="decimal"/>
      <w:lvlText w:val="%9"/>
      <w:lvlJc w:val="left"/>
      <w:rPr>
        <w:rFonts w:cs="0"/>
      </w:rPr>
    </w:lvl>
  </w:abstractNum>
  <w:abstractNum w:abstractNumId="24" w15:restartNumberingAfterBreak="0">
    <w:nsid w:val="667F5BFD"/>
    <w:multiLevelType w:val="multilevel"/>
    <w:tmpl w:val="85882410"/>
    <w:styleLink w:val="WW8Num17"/>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C03B19"/>
    <w:multiLevelType w:val="multilevel"/>
    <w:tmpl w:val="FCD2D2B8"/>
    <w:styleLink w:val="WW8Num2"/>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FD10F1"/>
    <w:multiLevelType w:val="multilevel"/>
    <w:tmpl w:val="52A600C6"/>
    <w:styleLink w:val="WW8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2324A19"/>
    <w:multiLevelType w:val="multilevel"/>
    <w:tmpl w:val="CC5A3356"/>
    <w:styleLink w:val="WW8Num19"/>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2F323BB"/>
    <w:multiLevelType w:val="multilevel"/>
    <w:tmpl w:val="FA44BC56"/>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D67EB5"/>
    <w:multiLevelType w:val="multilevel"/>
    <w:tmpl w:val="561CCB20"/>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826F75"/>
    <w:multiLevelType w:val="multilevel"/>
    <w:tmpl w:val="4FE094DC"/>
    <w:styleLink w:val="WWNum1"/>
    <w:lvl w:ilvl="0">
      <w:start w:val="1"/>
      <w:numFmt w:val="decimal"/>
      <w:lvlText w:val="%1."/>
      <w:lvlJc w:val="left"/>
      <w:rPr>
        <w:rFonts w:ascii="Times New Roman" w:eastAsia="Times New Roman" w:hAnsi="Times New Roman"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16cid:durableId="503859824">
    <w:abstractNumId w:val="1"/>
  </w:num>
  <w:num w:numId="2" w16cid:durableId="938220723">
    <w:abstractNumId w:val="25"/>
  </w:num>
  <w:num w:numId="3" w16cid:durableId="115296995">
    <w:abstractNumId w:val="10"/>
  </w:num>
  <w:num w:numId="4" w16cid:durableId="1045593604">
    <w:abstractNumId w:val="6"/>
  </w:num>
  <w:num w:numId="5" w16cid:durableId="1196307384">
    <w:abstractNumId w:val="8"/>
  </w:num>
  <w:num w:numId="6" w16cid:durableId="1956014295">
    <w:abstractNumId w:val="18"/>
  </w:num>
  <w:num w:numId="7" w16cid:durableId="62991779">
    <w:abstractNumId w:val="22"/>
  </w:num>
  <w:num w:numId="8" w16cid:durableId="60522449">
    <w:abstractNumId w:val="29"/>
  </w:num>
  <w:num w:numId="9" w16cid:durableId="163936836">
    <w:abstractNumId w:val="14"/>
  </w:num>
  <w:num w:numId="10" w16cid:durableId="191967616">
    <w:abstractNumId w:val="19"/>
  </w:num>
  <w:num w:numId="11" w16cid:durableId="2091005630">
    <w:abstractNumId w:val="9"/>
  </w:num>
  <w:num w:numId="12" w16cid:durableId="516432719">
    <w:abstractNumId w:val="15"/>
  </w:num>
  <w:num w:numId="13" w16cid:durableId="574322422">
    <w:abstractNumId w:val="17"/>
  </w:num>
  <w:num w:numId="14" w16cid:durableId="946473550">
    <w:abstractNumId w:val="4"/>
  </w:num>
  <w:num w:numId="15" w16cid:durableId="1918393248">
    <w:abstractNumId w:val="0"/>
  </w:num>
  <w:num w:numId="16" w16cid:durableId="479034081">
    <w:abstractNumId w:val="21"/>
  </w:num>
  <w:num w:numId="17" w16cid:durableId="2133474451">
    <w:abstractNumId w:val="24"/>
  </w:num>
  <w:num w:numId="18" w16cid:durableId="1735884324">
    <w:abstractNumId w:val="3"/>
  </w:num>
  <w:num w:numId="19" w16cid:durableId="1643347932">
    <w:abstractNumId w:val="27"/>
  </w:num>
  <w:num w:numId="20" w16cid:durableId="1454057874">
    <w:abstractNumId w:val="28"/>
  </w:num>
  <w:num w:numId="21" w16cid:durableId="213201254">
    <w:abstractNumId w:val="26"/>
  </w:num>
  <w:num w:numId="22" w16cid:durableId="701901547">
    <w:abstractNumId w:val="20"/>
  </w:num>
  <w:num w:numId="23" w16cid:durableId="1528375341">
    <w:abstractNumId w:val="12"/>
  </w:num>
  <w:num w:numId="24" w16cid:durableId="356932658">
    <w:abstractNumId w:val="30"/>
  </w:num>
  <w:num w:numId="25" w16cid:durableId="1731224357">
    <w:abstractNumId w:val="13"/>
  </w:num>
  <w:num w:numId="26" w16cid:durableId="704675186">
    <w:abstractNumId w:val="23"/>
  </w:num>
  <w:num w:numId="27" w16cid:durableId="127360721">
    <w:abstractNumId w:val="16"/>
  </w:num>
  <w:num w:numId="28" w16cid:durableId="1523321676">
    <w:abstractNumId w:val="11"/>
  </w:num>
  <w:num w:numId="29" w16cid:durableId="1629428961">
    <w:abstractNumId w:val="2"/>
  </w:num>
  <w:num w:numId="30" w16cid:durableId="2054422824">
    <w:abstractNumId w:val="5"/>
  </w:num>
  <w:num w:numId="31" w16cid:durableId="349601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38"/>
    <w:rsid w:val="000523AE"/>
    <w:rsid w:val="0011699F"/>
    <w:rsid w:val="00180A34"/>
    <w:rsid w:val="00264332"/>
    <w:rsid w:val="0039695F"/>
    <w:rsid w:val="005272B5"/>
    <w:rsid w:val="006F2468"/>
    <w:rsid w:val="006F3938"/>
    <w:rsid w:val="008A691B"/>
    <w:rsid w:val="00B6628A"/>
    <w:rsid w:val="00C917FE"/>
    <w:rsid w:val="00E92E65"/>
    <w:rsid w:val="00EA0D47"/>
    <w:rsid w:val="00EE781E"/>
    <w:rsid w:val="00F56B78"/>
    <w:rsid w:val="00F71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F740C"/>
  <w15:docId w15:val="{82798875-60E4-4C86-AF2E-7444E354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autoSpaceDE w:val="0"/>
      <w:ind w:left="3540" w:firstLine="708"/>
      <w:outlineLvl w:val="0"/>
    </w:pPr>
    <w:rPr>
      <w:b/>
      <w:bCs/>
    </w:rPr>
  </w:style>
  <w:style w:type="paragraph" w:styleId="Nagwek2">
    <w:name w:val="heading 2"/>
    <w:basedOn w:val="Standard"/>
    <w:next w:val="Standard"/>
    <w:uiPriority w:val="9"/>
    <w:semiHidden/>
    <w:unhideWhenUsed/>
    <w:qFormat/>
    <w:pPr>
      <w:keepNext/>
      <w:autoSpaceDE w:val="0"/>
      <w:jc w:val="center"/>
      <w:outlineLvl w:val="1"/>
    </w:pPr>
    <w:rPr>
      <w:b/>
      <w:bCs/>
      <w:color w:val="FF6600"/>
      <w:sz w:val="36"/>
    </w:rPr>
  </w:style>
  <w:style w:type="paragraph" w:styleId="Nagwek3">
    <w:name w:val="heading 3"/>
    <w:basedOn w:val="Standard"/>
    <w:next w:val="Standard"/>
    <w:uiPriority w:val="9"/>
    <w:semiHidden/>
    <w:unhideWhenUsed/>
    <w:qFormat/>
    <w:pPr>
      <w:keepNext/>
      <w:outlineLvl w:val="2"/>
    </w:pPr>
    <w:rPr>
      <w:b/>
      <w:bCs/>
      <w:sz w:val="22"/>
    </w:rPr>
  </w:style>
  <w:style w:type="paragraph" w:styleId="Nagwek4">
    <w:name w:val="heading 4"/>
    <w:basedOn w:val="Standard"/>
    <w:next w:val="Standard"/>
    <w:uiPriority w:val="9"/>
    <w:semiHidden/>
    <w:unhideWhenUsed/>
    <w:qFormat/>
    <w:pPr>
      <w:keepNext/>
      <w:outlineLvl w:val="3"/>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pPr>
      <w:jc w:val="both"/>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ind w:firstLine="708"/>
      <w:jc w:val="both"/>
    </w:pPr>
    <w:rPr>
      <w:szCs w:val="20"/>
    </w:rPr>
  </w:style>
  <w:style w:type="paragraph" w:styleId="Tekstpodstawowy2">
    <w:name w:val="Body Text 2"/>
    <w:basedOn w:val="Standard"/>
    <w:rPr>
      <w:color w:val="000000"/>
      <w:spacing w:val="-5"/>
      <w:szCs w:val="18"/>
    </w:rPr>
  </w:style>
  <w:style w:type="paragraph" w:styleId="Tekstpodstawowy3">
    <w:name w:val="Body Text 3"/>
    <w:basedOn w:val="Standard"/>
    <w:pPr>
      <w:jc w:val="both"/>
    </w:pPr>
    <w:rPr>
      <w:color w:val="000000"/>
    </w:rPr>
  </w:style>
  <w:style w:type="paragraph" w:customStyle="1" w:styleId="BodyText21">
    <w:name w:val="Body Text 21"/>
    <w:basedOn w:val="Standard"/>
    <w:pPr>
      <w:widowControl w:val="0"/>
      <w:autoSpaceDE w:val="0"/>
      <w:jc w:val="both"/>
    </w:pPr>
  </w:style>
  <w:style w:type="paragraph" w:customStyle="1" w:styleId="Poziom1">
    <w:name w:val="Poziom1"/>
    <w:pPr>
      <w:widowControl/>
      <w:suppressAutoHyphens/>
      <w:ind w:left="1080"/>
      <w:jc w:val="both"/>
    </w:pPr>
    <w:rPr>
      <w:rFonts w:eastAsia="Times New Roman" w:cs="Times New Roman"/>
      <w:lang w:bidi="ar-SA"/>
    </w:rPr>
  </w:style>
  <w:style w:type="paragraph" w:customStyle="1" w:styleId="tabela">
    <w:name w:val="tabela"/>
    <w:basedOn w:val="Standard"/>
    <w:pPr>
      <w:spacing w:before="280" w:after="280"/>
      <w:jc w:val="both"/>
    </w:pPr>
    <w:rPr>
      <w:rFonts w:ascii="Arial Unicode MS" w:eastAsia="Arial Unicode MS" w:hAnsi="Arial Unicode MS" w:cs="Arial Unicode MS"/>
    </w:rPr>
  </w:style>
  <w:style w:type="paragraph" w:customStyle="1" w:styleId="Framecontents">
    <w:name w:val="Frame contents"/>
    <w:basedOn w:val="Standard"/>
  </w:style>
  <w:style w:type="paragraph" w:customStyle="1" w:styleId="Tekstpodstawowy21">
    <w:name w:val="Tekst podstawowy 21"/>
    <w:basedOn w:val="Standard"/>
    <w:pPr>
      <w:widowControl w:val="0"/>
      <w:autoSpaceDE w:val="0"/>
      <w:jc w:val="both"/>
    </w:pPr>
    <w:rPr>
      <w:szCs w:val="20"/>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36"/>
      <w:szCs w:val="36"/>
    </w:rPr>
  </w:style>
  <w:style w:type="paragraph" w:styleId="Podtytu">
    <w:name w:val="Subtitle"/>
    <w:basedOn w:val="Heading"/>
    <w:next w:val="Textbody"/>
    <w:uiPriority w:val="11"/>
    <w:qFormat/>
    <w:pPr>
      <w:jc w:val="center"/>
    </w:pPr>
    <w:rPr>
      <w:i/>
      <w:iCs/>
    </w:rPr>
  </w:style>
  <w:style w:type="paragraph" w:customStyle="1" w:styleId="DocumentMap">
    <w:name w:val="DocumentMap"/>
    <w:pPr>
      <w:widowControl/>
      <w:suppressAutoHyphens/>
      <w:textAlignment w:val="auto"/>
    </w:pPr>
    <w:rPr>
      <w:rFonts w:eastAsia="Courier New" w:cs="Times New Roman"/>
      <w:sz w:val="20"/>
      <w:szCs w:val="20"/>
      <w:lang w:eastAsia="pl-PL"/>
    </w:rPr>
  </w:style>
  <w:style w:type="paragraph" w:customStyle="1" w:styleId="Teksttreci">
    <w:name w:val="Tekst treści"/>
    <w:basedOn w:val="Standard"/>
    <w:pPr>
      <w:spacing w:after="280" w:line="276" w:lineRule="auto"/>
    </w:pPr>
    <w:rPr>
      <w:rFonts w:ascii="Cambria" w:eastAsia="Cambria" w:hAnsi="Cambria" w:cs="Cambria"/>
      <w:sz w:val="22"/>
      <w:szCs w:val="22"/>
    </w:rPr>
  </w:style>
  <w:style w:type="paragraph" w:customStyle="1" w:styleId="Teksttreci2">
    <w:name w:val="Tekst treści (2)"/>
    <w:basedOn w:val="Standard"/>
    <w:pPr>
      <w:spacing w:after="70"/>
      <w:ind w:firstLine="90"/>
    </w:pPr>
    <w:rPr>
      <w:rFonts w:ascii="Arial" w:eastAsia="Arial" w:hAnsi="Arial" w:cs="Arial"/>
      <w:i/>
      <w:iCs/>
      <w:sz w:val="13"/>
      <w:szCs w:val="13"/>
    </w:rPr>
  </w:style>
  <w:style w:type="paragraph" w:styleId="NormalnyWeb">
    <w:name w:val="Normal (Web)"/>
    <w:basedOn w:val="Standard"/>
  </w:style>
  <w:style w:type="paragraph" w:customStyle="1" w:styleId="Standardowy1">
    <w:name w:val="Standardowy1"/>
    <w:pPr>
      <w:widowControl/>
      <w:suppressAutoHyphens/>
      <w:spacing w:after="160" w:line="251" w:lineRule="auto"/>
      <w:textAlignment w:val="auto"/>
    </w:pPr>
    <w:rPr>
      <w:rFonts w:ascii="Calibri" w:eastAsia="Calibri" w:hAnsi="Calibri" w:cs="Times New Roman"/>
      <w:sz w:val="22"/>
      <w:szCs w:val="22"/>
      <w:lang w:eastAsia="en-US" w:bidi="ar-SA"/>
    </w:rPr>
  </w:style>
  <w:style w:type="paragraph" w:styleId="Nagwek">
    <w:name w:val="header"/>
    <w:basedOn w:val="HeaderandFooter"/>
  </w:style>
  <w:style w:type="paragraph" w:customStyle="1" w:styleId="Standardowy2">
    <w:name w:val="Standardowy2"/>
    <w:pPr>
      <w:widowControl/>
      <w:spacing w:after="160" w:line="256" w:lineRule="auto"/>
      <w:textAlignment w:val="auto"/>
    </w:pPr>
    <w:rPr>
      <w:rFonts w:ascii="Calibri" w:eastAsia="Cambria Math" w:hAnsi="Calibri" w:cs="Times New Roman"/>
      <w:sz w:val="22"/>
      <w:szCs w:val="22"/>
      <w:lang w:eastAsia="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matkomentarza">
    <w:name w:val="annotation subject"/>
    <w:rPr>
      <w:b/>
      <w:bCs/>
      <w:sz w:val="20"/>
      <w:szCs w:val="18"/>
    </w:rPr>
  </w:style>
  <w:style w:type="paragraph" w:styleId="Tekstkomentarza">
    <w:name w:val="annotation text"/>
    <w:rPr>
      <w:sz w:val="20"/>
      <w:szCs w:val="18"/>
    </w:rPr>
  </w:style>
  <w:style w:type="paragraph" w:customStyle="1" w:styleId="Standardowy20">
    <w:name w:val="Standardowy2"/>
    <w:pPr>
      <w:widowControl/>
      <w:spacing w:after="160" w:line="251" w:lineRule="auto"/>
      <w:textAlignment w:val="auto"/>
    </w:pPr>
    <w:rPr>
      <w:rFonts w:ascii="Calibri" w:eastAsia="Cambria Math" w:hAnsi="Calibri" w:cs="Times New Roman"/>
      <w:sz w:val="22"/>
      <w:szCs w:val="22"/>
      <w:lang w:eastAsia="en-US" w:bidi="ar-SA"/>
    </w:rPr>
  </w:style>
  <w:style w:type="paragraph" w:styleId="Mapadokumentu">
    <w:name w:val="Document Map"/>
    <w:pPr>
      <w:widowControl/>
      <w:suppressAutoHyphens/>
      <w:textAlignment w:val="auto"/>
    </w:pPr>
    <w:rPr>
      <w:rFonts w:ascii="Liberation Serif" w:eastAsia="Courier New" w:hAnsi="Liberation Serif" w:cs="Times New Roman"/>
      <w:sz w:val="20"/>
      <w:szCs w:val="20"/>
      <w:lang w:eastAsia="pl-PL"/>
    </w:rPr>
  </w:style>
  <w:style w:type="paragraph" w:customStyle="1" w:styleId="Default">
    <w:name w:val="Default"/>
    <w:pPr>
      <w:suppressAutoHyphens/>
    </w:pPr>
    <w:rPr>
      <w:rFonts w:ascii="Calibri" w:eastAsia="Calibri" w:hAnsi="Calibri" w:cs="Calibri"/>
      <w:color w:val="000000"/>
    </w:rPr>
  </w:style>
  <w:style w:type="paragraph" w:styleId="Akapitzlist">
    <w:name w:val="List Paragraph"/>
    <w:basedOn w:val="Standard"/>
    <w:pPr>
      <w:ind w:left="720"/>
    </w:pPr>
  </w:style>
  <w:style w:type="paragraph" w:customStyle="1" w:styleId="Standarduser">
    <w:name w:val="Standard (user)"/>
    <w:pPr>
      <w:widowControl/>
      <w:suppressAutoHyphens/>
    </w:pPr>
    <w:rPr>
      <w:rFonts w:eastAsia="Cambria Math" w:cs="Times New Roman"/>
      <w:lang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Arial" w:hAnsi="Arial" w:cs="Arial"/>
      <w:i w:val="0"/>
      <w:sz w:val="18"/>
      <w:szCs w:val="18"/>
    </w:rPr>
  </w:style>
  <w:style w:type="character" w:customStyle="1" w:styleId="WW8Num10z1">
    <w:name w:val="WW8Num10z1"/>
    <w:rPr>
      <w:i w:val="0"/>
      <w:sz w:val="18"/>
      <w:szCs w:val="18"/>
    </w:rPr>
  </w:style>
  <w:style w:type="character" w:customStyle="1" w:styleId="WW8Num10z2">
    <w:name w:val="WW8Num10z2"/>
    <w:rPr>
      <w:rFonts w:ascii="Symbol" w:eastAsia="Symbol" w:hAnsi="Symbol" w:cs="Symbol"/>
      <w:i w:val="0"/>
      <w:sz w:val="18"/>
      <w:szCs w:val="1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styleId="Numerstrony">
    <w:name w:val="page number"/>
    <w:basedOn w:val="Domylnaczcionkaakapitu"/>
  </w:style>
  <w:style w:type="character" w:customStyle="1" w:styleId="Internetlink">
    <w:name w:val="Internet link"/>
    <w:basedOn w:val="Domylnaczcionkaakapitu"/>
    <w:rPr>
      <w:color w:val="0000FF"/>
      <w:u w:val="single"/>
    </w:rPr>
  </w:style>
  <w:style w:type="character" w:customStyle="1" w:styleId="ZnakZnak1">
    <w:name w:val="Znak Znak1"/>
    <w:basedOn w:val="Domylnaczcionkaakapitu"/>
    <w:rPr>
      <w:sz w:val="24"/>
      <w:szCs w:val="24"/>
      <w:lang w:val="pl-PL" w:bidi="ar-SA"/>
    </w:rPr>
  </w:style>
  <w:style w:type="character" w:customStyle="1" w:styleId="ListLabel6">
    <w:name w:val="ListLabel 6"/>
    <w:rPr>
      <w:rFonts w:ascii="Arial" w:eastAsia="Arial" w:hAnsi="Arial" w:cs="Arial"/>
      <w:b w:val="0"/>
      <w:i w:val="0"/>
      <w:smallCaps/>
      <w:color w:val="000000"/>
      <w:sz w:val="12"/>
      <w:u w:val="single"/>
      <w:lang w:val="en-US"/>
    </w:rPr>
  </w:style>
  <w:style w:type="character" w:customStyle="1" w:styleId="BulletSymbols">
    <w:name w:val="Bullet Symbols"/>
    <w:rPr>
      <w:rFonts w:ascii="OpenSymbol" w:eastAsia="OpenSymbol" w:hAnsi="OpenSymbol" w:cs="OpenSymbol"/>
    </w:rPr>
  </w:style>
  <w:style w:type="character" w:customStyle="1" w:styleId="Teksttreci0">
    <w:name w:val="Tekst treści_"/>
    <w:basedOn w:val="Domylnaczcionkaakapitu"/>
    <w:rPr>
      <w:rFonts w:ascii="Cambria" w:eastAsia="Cambria" w:hAnsi="Cambria" w:cs="Times New Roman"/>
      <w:sz w:val="22"/>
      <w:szCs w:val="22"/>
    </w:rPr>
  </w:style>
  <w:style w:type="character" w:customStyle="1" w:styleId="Teksttreci20">
    <w:name w:val="Tekst treści (2)_"/>
    <w:basedOn w:val="Domylnaczcionkaakapitu"/>
    <w:rPr>
      <w:rFonts w:ascii="Arial" w:eastAsia="Arial" w:hAnsi="Arial" w:cs="Times New Roman"/>
      <w:i/>
      <w:iCs/>
      <w:sz w:val="13"/>
      <w:szCs w:val="13"/>
    </w:rPr>
  </w:style>
  <w:style w:type="character" w:customStyle="1" w:styleId="ListLabel7">
    <w:name w:val="ListLabel 7"/>
    <w:rPr>
      <w:rFonts w:ascii="Times New Roman" w:eastAsia="Times New Roman" w:hAnsi="Times New Roman"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NumberingSymbols">
    <w:name w:val="Numbering Symbols"/>
  </w:style>
  <w:style w:type="character" w:customStyle="1" w:styleId="StrongEmphasis">
    <w:name w:val="Strong Emphasis"/>
    <w:rPr>
      <w:b/>
      <w:bCs/>
    </w:rPr>
  </w:style>
  <w:style w:type="character" w:customStyle="1" w:styleId="TematkomentarzaZnak">
    <w:name w:val="Temat komentarza Znak"/>
    <w:rPr>
      <w:b/>
      <w:bCs/>
      <w:sz w:val="20"/>
      <w:szCs w:val="18"/>
    </w:rPr>
  </w:style>
  <w:style w:type="character" w:customStyle="1" w:styleId="TekstkomentarzaZnak">
    <w:name w:val="Tekst komentarza Znak"/>
    <w:rPr>
      <w:sz w:val="20"/>
      <w:szCs w:val="18"/>
    </w:rPr>
  </w:style>
  <w:style w:type="character" w:styleId="Odwoaniedokomentarza">
    <w:name w:val="annotation reference"/>
    <w:rPr>
      <w:sz w:val="16"/>
      <w:szCs w:val="16"/>
    </w:rPr>
  </w:style>
  <w:style w:type="character" w:customStyle="1" w:styleId="ListLabel16">
    <w:name w:val="ListLabel 16"/>
    <w:rPr>
      <w:rFonts w:ascii="Arial" w:eastAsia="Arial" w:hAnsi="Arial" w:cs="Arial"/>
    </w:rPr>
  </w:style>
  <w:style w:type="character" w:customStyle="1" w:styleId="ListLabel17">
    <w:name w:val="ListLabel 17"/>
    <w:rPr>
      <w:rFonts w:cs="0"/>
    </w:rPr>
  </w:style>
  <w:style w:type="character" w:customStyle="1" w:styleId="ListLabel18">
    <w:name w:val="ListLabel 18"/>
    <w:rPr>
      <w:rFonts w:cs="0"/>
    </w:rPr>
  </w:style>
  <w:style w:type="character" w:customStyle="1" w:styleId="ListLabel19">
    <w:name w:val="ListLabel 19"/>
    <w:rPr>
      <w:rFonts w:cs="0"/>
    </w:rPr>
  </w:style>
  <w:style w:type="character" w:customStyle="1" w:styleId="ListLabel20">
    <w:name w:val="ListLabel 20"/>
    <w:rPr>
      <w:rFonts w:cs="0"/>
    </w:rPr>
  </w:style>
  <w:style w:type="character" w:customStyle="1" w:styleId="ListLabel21">
    <w:name w:val="ListLabel 21"/>
    <w:rPr>
      <w:rFonts w:cs="0"/>
    </w:rPr>
  </w:style>
  <w:style w:type="character" w:customStyle="1" w:styleId="ListLabel22">
    <w:name w:val="ListLabel 22"/>
    <w:rPr>
      <w:rFonts w:cs="0"/>
    </w:rPr>
  </w:style>
  <w:style w:type="character" w:customStyle="1" w:styleId="ListLabel23">
    <w:name w:val="ListLabel 23"/>
    <w:rPr>
      <w:rFonts w:cs="0"/>
    </w:rPr>
  </w:style>
  <w:style w:type="character" w:customStyle="1" w:styleId="ListLabel24">
    <w:name w:val="ListLabel 24"/>
    <w:rPr>
      <w:rFonts w:cs="0"/>
    </w:rPr>
  </w:style>
  <w:style w:type="character" w:customStyle="1" w:styleId="ListLabel25">
    <w:name w:val="ListLabel 25"/>
    <w:rPr>
      <w:rFonts w:ascii="Arial" w:eastAsia="Arial" w:hAnsi="Arial" w:cs="Arial"/>
      <w:b/>
    </w:rPr>
  </w:style>
  <w:style w:type="character" w:customStyle="1" w:styleId="ListLabel26">
    <w:name w:val="ListLabel 26"/>
    <w:rPr>
      <w:rFonts w:cs="0"/>
    </w:rPr>
  </w:style>
  <w:style w:type="character" w:customStyle="1" w:styleId="ListLabel27">
    <w:name w:val="ListLabel 27"/>
    <w:rPr>
      <w:rFonts w:cs="0"/>
    </w:rPr>
  </w:style>
  <w:style w:type="character" w:customStyle="1" w:styleId="ListLabel28">
    <w:name w:val="ListLabel 28"/>
    <w:rPr>
      <w:rFonts w:cs="0"/>
    </w:rPr>
  </w:style>
  <w:style w:type="character" w:customStyle="1" w:styleId="ListLabel29">
    <w:name w:val="ListLabel 29"/>
    <w:rPr>
      <w:rFonts w:cs="0"/>
    </w:rPr>
  </w:style>
  <w:style w:type="character" w:customStyle="1" w:styleId="ListLabel30">
    <w:name w:val="ListLabel 30"/>
    <w:rPr>
      <w:rFonts w:cs="0"/>
    </w:rPr>
  </w:style>
  <w:style w:type="character" w:customStyle="1" w:styleId="ListLabel31">
    <w:name w:val="ListLabel 31"/>
    <w:rPr>
      <w:rFonts w:cs="0"/>
    </w:rPr>
  </w:style>
  <w:style w:type="character" w:customStyle="1" w:styleId="ListLabel32">
    <w:name w:val="ListLabel 32"/>
    <w:rPr>
      <w:rFonts w:cs="0"/>
    </w:rPr>
  </w:style>
  <w:style w:type="character" w:customStyle="1" w:styleId="ListLabel33">
    <w:name w:val="ListLabel 33"/>
    <w:rPr>
      <w:rFonts w:cs="0"/>
    </w:rPr>
  </w:style>
  <w:style w:type="character" w:customStyle="1" w:styleId="ListLabel34">
    <w:name w:val="ListLabel 34"/>
    <w:rPr>
      <w:rFonts w:ascii="Arial" w:eastAsia="Arial" w:hAnsi="Arial" w:cs="Arial"/>
    </w:rPr>
  </w:style>
  <w:style w:type="character" w:customStyle="1" w:styleId="ListLabel35">
    <w:name w:val="ListLabel 35"/>
    <w:rPr>
      <w:rFonts w:cs="0"/>
    </w:rPr>
  </w:style>
  <w:style w:type="character" w:customStyle="1" w:styleId="ListLabel36">
    <w:name w:val="ListLabel 36"/>
    <w:rPr>
      <w:rFonts w:cs="0"/>
    </w:rPr>
  </w:style>
  <w:style w:type="character" w:customStyle="1" w:styleId="ListLabel37">
    <w:name w:val="ListLabel 37"/>
    <w:rPr>
      <w:rFonts w:cs="0"/>
    </w:rPr>
  </w:style>
  <w:style w:type="character" w:customStyle="1" w:styleId="ListLabel38">
    <w:name w:val="ListLabel 38"/>
    <w:rPr>
      <w:rFonts w:cs="0"/>
    </w:rPr>
  </w:style>
  <w:style w:type="character" w:customStyle="1" w:styleId="ListLabel39">
    <w:name w:val="ListLabel 39"/>
    <w:rPr>
      <w:rFonts w:cs="0"/>
    </w:rPr>
  </w:style>
  <w:style w:type="character" w:customStyle="1" w:styleId="ListLabel40">
    <w:name w:val="ListLabel 40"/>
    <w:rPr>
      <w:rFonts w:cs="0"/>
    </w:rPr>
  </w:style>
  <w:style w:type="character" w:customStyle="1" w:styleId="ListLabel41">
    <w:name w:val="ListLabel 41"/>
    <w:rPr>
      <w:rFonts w:cs="0"/>
    </w:rPr>
  </w:style>
  <w:style w:type="character" w:customStyle="1" w:styleId="ListLabel42">
    <w:name w:val="ListLabel 42"/>
    <w:rPr>
      <w:rFonts w:cs="0"/>
    </w:rPr>
  </w:style>
  <w:style w:type="character" w:customStyle="1" w:styleId="ListLabel43">
    <w:name w:val="ListLabel 43"/>
    <w:rPr>
      <w:rFonts w:eastAsia="Arial"/>
    </w:rPr>
  </w:style>
  <w:style w:type="character" w:customStyle="1" w:styleId="ListLabel44">
    <w:name w:val="ListLabel 44"/>
    <w:rPr>
      <w:rFonts w:cs="0"/>
    </w:rPr>
  </w:style>
  <w:style w:type="character" w:customStyle="1" w:styleId="ListLabel45">
    <w:name w:val="ListLabel 45"/>
    <w:rPr>
      <w:rFonts w:cs="0"/>
    </w:rPr>
  </w:style>
  <w:style w:type="character" w:customStyle="1" w:styleId="ListLabel46">
    <w:name w:val="ListLabel 46"/>
    <w:rPr>
      <w:rFonts w:cs="0"/>
    </w:rPr>
  </w:style>
  <w:style w:type="character" w:customStyle="1" w:styleId="ListLabel47">
    <w:name w:val="ListLabel 47"/>
    <w:rPr>
      <w:rFonts w:cs="0"/>
    </w:rPr>
  </w:style>
  <w:style w:type="character" w:customStyle="1" w:styleId="ListLabel48">
    <w:name w:val="ListLabel 48"/>
    <w:rPr>
      <w:rFonts w:cs="0"/>
    </w:rPr>
  </w:style>
  <w:style w:type="character" w:customStyle="1" w:styleId="ListLabel49">
    <w:name w:val="ListLabel 49"/>
    <w:rPr>
      <w:rFonts w:cs="0"/>
    </w:rPr>
  </w:style>
  <w:style w:type="character" w:customStyle="1" w:styleId="ListLabel50">
    <w:name w:val="ListLabel 50"/>
    <w:rPr>
      <w:rFonts w:cs="0"/>
    </w:rPr>
  </w:style>
  <w:style w:type="character" w:customStyle="1" w:styleId="ListLabel51">
    <w:name w:val="ListLabel 51"/>
    <w:rPr>
      <w:rFonts w:cs="0"/>
    </w:rPr>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Num1">
    <w:name w:val="WWNum1"/>
    <w:basedOn w:val="Bezlisty"/>
    <w:pPr>
      <w:numPr>
        <w:numId w:val="24"/>
      </w:numPr>
    </w:pPr>
  </w:style>
  <w:style w:type="numbering" w:customStyle="1" w:styleId="WWNum1a">
    <w:name w:val="WWNum1a"/>
    <w:basedOn w:val="Bezlisty"/>
    <w:pPr>
      <w:numPr>
        <w:numId w:val="25"/>
      </w:numPr>
    </w:pPr>
  </w:style>
  <w:style w:type="numbering" w:customStyle="1" w:styleId="WWNum1aa">
    <w:name w:val="WWNum1aa"/>
    <w:basedOn w:val="Bezlisty"/>
    <w:pPr>
      <w:numPr>
        <w:numId w:val="26"/>
      </w:numPr>
    </w:pPr>
  </w:style>
  <w:style w:type="numbering" w:customStyle="1" w:styleId="WWNum1aaa">
    <w:name w:val="WWNum1aaa"/>
    <w:basedOn w:val="Bezlisty"/>
    <w:pPr>
      <w:numPr>
        <w:numId w:val="27"/>
      </w:numPr>
    </w:pPr>
  </w:style>
  <w:style w:type="numbering" w:customStyle="1" w:styleId="WWNum1aaaa">
    <w:name w:val="WWNum1aaaa"/>
    <w:basedOn w:val="Bezlisty"/>
    <w:pPr>
      <w:numPr>
        <w:numId w:val="28"/>
      </w:numPr>
    </w:pPr>
  </w:style>
  <w:style w:type="numbering" w:customStyle="1" w:styleId="WWNum2">
    <w:name w:val="WWNum2"/>
    <w:basedOn w:val="Bezlisty"/>
    <w:pPr>
      <w:numPr>
        <w:numId w:val="29"/>
      </w:numPr>
    </w:pPr>
  </w:style>
  <w:style w:type="numbering" w:customStyle="1" w:styleId="WWNum11">
    <w:name w:val="WWNum11"/>
    <w:basedOn w:val="Bezlisty"/>
    <w:pPr>
      <w:numPr>
        <w:numId w:val="30"/>
      </w:numPr>
    </w:pPr>
  </w:style>
  <w:style w:type="numbering" w:customStyle="1" w:styleId="WWNum1aaaaa">
    <w:name w:val="WWNum1aaaaa"/>
    <w:basedOn w:val="Bezlisty"/>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7.bin"/><Relationship Id="rId13" Type="http://schemas.openxmlformats.org/officeDocument/2006/relationships/oleObject" Target="embeddings/oleObject12.bin"/><Relationship Id="rId3" Type="http://schemas.openxmlformats.org/officeDocument/2006/relationships/oleObject" Target="embeddings/oleObject2.bin"/><Relationship Id="rId7" Type="http://schemas.openxmlformats.org/officeDocument/2006/relationships/oleObject" Target="embeddings/oleObject6.bin"/><Relationship Id="rId12" Type="http://schemas.openxmlformats.org/officeDocument/2006/relationships/oleObject" Target="embeddings/oleObject11.bin"/><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5.bin"/><Relationship Id="rId11" Type="http://schemas.openxmlformats.org/officeDocument/2006/relationships/oleObject" Target="embeddings/oleObject10.bin"/><Relationship Id="rId5" Type="http://schemas.openxmlformats.org/officeDocument/2006/relationships/oleObject" Target="embeddings/oleObject4.bin"/><Relationship Id="rId10" Type="http://schemas.openxmlformats.org/officeDocument/2006/relationships/oleObject" Target="embeddings/oleObject9.bin"/><Relationship Id="rId4" Type="http://schemas.openxmlformats.org/officeDocument/2006/relationships/oleObject" Target="embeddings/oleObject3.bin"/><Relationship Id="rId9" Type="http://schemas.openxmlformats.org/officeDocument/2006/relationships/oleObject" Target="embeddings/oleObject8.bin"/><Relationship Id="rId14" Type="http://schemas.openxmlformats.org/officeDocument/2006/relationships/oleObject" Target="embeddings/oleObject13.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2727</Words>
  <Characters>16362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ENION S</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ENION S</dc:title>
  <dc:creator>Top Sport</dc:creator>
  <cp:lastModifiedBy>Krzysztof Iskra</cp:lastModifiedBy>
  <cp:revision>12</cp:revision>
  <cp:lastPrinted>2025-03-31T09:43:00Z</cp:lastPrinted>
  <dcterms:created xsi:type="dcterms:W3CDTF">2025-03-11T12:11:00Z</dcterms:created>
  <dcterms:modified xsi:type="dcterms:W3CDTF">2025-03-31T09:44:00Z</dcterms:modified>
</cp:coreProperties>
</file>