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42053" w14:textId="7C613609" w:rsidR="00133877" w:rsidRPr="00BE3545" w:rsidRDefault="00133877" w:rsidP="00133877">
      <w:pPr>
        <w:spacing w:line="360" w:lineRule="auto"/>
        <w:rPr>
          <w:rFonts w:cstheme="minorHAnsi"/>
          <w:lang w:val="en-GB"/>
        </w:rPr>
      </w:pPr>
      <w:proofErr w:type="spellStart"/>
      <w:r w:rsidRPr="00BE3545">
        <w:rPr>
          <w:rFonts w:cstheme="minorHAnsi"/>
          <w:lang w:val="en-GB"/>
        </w:rPr>
        <w:t>Białystok</w:t>
      </w:r>
      <w:proofErr w:type="spellEnd"/>
      <w:r w:rsidRPr="00BE3545">
        <w:rPr>
          <w:rFonts w:cstheme="minorHAnsi"/>
          <w:lang w:val="en-GB"/>
        </w:rPr>
        <w:t xml:space="preserve">, </w:t>
      </w:r>
      <w:r w:rsidR="009F167C" w:rsidRPr="00BE3545">
        <w:rPr>
          <w:rFonts w:cstheme="minorHAnsi"/>
          <w:color w:val="000000"/>
          <w:lang w:val="en-GB"/>
        </w:rPr>
        <w:t>15.04</w:t>
      </w:r>
      <w:r w:rsidR="00CD158B" w:rsidRPr="00BE3545">
        <w:rPr>
          <w:rFonts w:cstheme="minorHAnsi"/>
          <w:color w:val="000000"/>
          <w:lang w:val="en-GB"/>
        </w:rPr>
        <w:t>.2025</w:t>
      </w:r>
      <w:r w:rsidRPr="00BE3545">
        <w:rPr>
          <w:rFonts w:cstheme="minorHAnsi"/>
          <w:color w:val="000000"/>
          <w:lang w:val="en-GB"/>
        </w:rPr>
        <w:t>.</w:t>
      </w:r>
    </w:p>
    <w:p w14:paraId="748FC4ED" w14:textId="122A344D" w:rsidR="00DA4115" w:rsidRPr="00BE3545" w:rsidRDefault="00DA4115" w:rsidP="00133877">
      <w:pPr>
        <w:spacing w:line="360" w:lineRule="auto"/>
        <w:rPr>
          <w:rFonts w:cstheme="minorHAnsi"/>
          <w:lang w:val="en-GB"/>
        </w:rPr>
      </w:pPr>
      <w:r w:rsidRPr="00BE3545">
        <w:rPr>
          <w:rFonts w:cstheme="minorHAnsi"/>
          <w:lang w:val="en-GB"/>
        </w:rPr>
        <w:t xml:space="preserve">Case no: </w:t>
      </w:r>
      <w:r w:rsidR="00CD158B" w:rsidRPr="00BE3545">
        <w:rPr>
          <w:rFonts w:cstheme="minorHAnsi"/>
          <w:b/>
          <w:color w:val="000000"/>
          <w:lang w:val="en-GB"/>
        </w:rPr>
        <w:t>AZP.25.1.8.2025</w:t>
      </w:r>
      <w:r w:rsidRPr="00BE3545">
        <w:rPr>
          <w:rFonts w:cstheme="minorHAnsi"/>
          <w:b/>
          <w:bCs/>
          <w:color w:val="000000" w:themeColor="text1"/>
          <w:lang w:val="en-GB"/>
        </w:rPr>
        <w:tab/>
      </w:r>
      <w:r w:rsidRPr="00BE3545">
        <w:rPr>
          <w:rFonts w:cstheme="minorHAnsi"/>
          <w:b/>
          <w:bCs/>
          <w:lang w:val="en-GB"/>
        </w:rPr>
        <w:tab/>
      </w:r>
      <w:r w:rsidRPr="00BE3545">
        <w:rPr>
          <w:rFonts w:cstheme="minorHAnsi"/>
          <w:b/>
          <w:bCs/>
          <w:lang w:val="en-GB"/>
        </w:rPr>
        <w:tab/>
      </w:r>
      <w:r w:rsidRPr="00BE3545">
        <w:rPr>
          <w:rFonts w:cstheme="minorHAnsi"/>
          <w:b/>
          <w:bCs/>
          <w:lang w:val="en-GB"/>
        </w:rPr>
        <w:tab/>
      </w:r>
      <w:r w:rsidRPr="00BE3545">
        <w:rPr>
          <w:rFonts w:cstheme="minorHAnsi"/>
          <w:b/>
          <w:bCs/>
          <w:lang w:val="en-GB"/>
        </w:rPr>
        <w:tab/>
      </w:r>
      <w:r w:rsidR="008141AD" w:rsidRPr="00BE3545">
        <w:rPr>
          <w:rFonts w:cstheme="minorHAnsi"/>
          <w:b/>
          <w:bCs/>
          <w:lang w:val="en-GB"/>
        </w:rPr>
        <w:tab/>
      </w:r>
    </w:p>
    <w:p w14:paraId="686D1D93" w14:textId="32137058" w:rsidR="00511262" w:rsidRPr="00BE3545" w:rsidRDefault="005D3D79" w:rsidP="00133877">
      <w:pPr>
        <w:tabs>
          <w:tab w:val="left" w:pos="0"/>
        </w:tabs>
        <w:spacing w:after="0" w:line="360" w:lineRule="auto"/>
        <w:rPr>
          <w:rFonts w:cstheme="minorHAnsi"/>
          <w:b/>
          <w:lang w:val="en-GB"/>
        </w:rPr>
      </w:pPr>
      <w:r w:rsidRPr="00BE3545">
        <w:rPr>
          <w:rFonts w:cstheme="minorHAnsi"/>
          <w:b/>
          <w:lang w:val="en-GB"/>
        </w:rPr>
        <w:t xml:space="preserve">AMENDMENT TO THE CONTENTS OF </w:t>
      </w:r>
      <w:r w:rsidR="00FE4A03" w:rsidRPr="00BE3545">
        <w:rPr>
          <w:rFonts w:cstheme="minorHAnsi"/>
          <w:b/>
          <w:lang w:val="en-GB"/>
        </w:rPr>
        <w:t>THE</w:t>
      </w:r>
      <w:r w:rsidRPr="00BE3545">
        <w:rPr>
          <w:rFonts w:cstheme="minorHAnsi"/>
          <w:b/>
          <w:lang w:val="en-GB"/>
        </w:rPr>
        <w:t xml:space="preserve"> TERMS OF REFERENCE</w:t>
      </w:r>
    </w:p>
    <w:p w14:paraId="0990C3EB" w14:textId="0FB20B72" w:rsidR="00FE4A03" w:rsidRPr="00BE3545" w:rsidRDefault="00FE4A03" w:rsidP="00CD158B">
      <w:pPr>
        <w:numPr>
          <w:ilvl w:val="0"/>
          <w:numId w:val="8"/>
        </w:numPr>
        <w:autoSpaceDN w:val="0"/>
        <w:spacing w:after="0" w:line="360" w:lineRule="auto"/>
        <w:ind w:left="296" w:hanging="296"/>
        <w:rPr>
          <w:rFonts w:cstheme="minorHAnsi"/>
          <w:b/>
          <w:bCs/>
          <w:lang w:val="en-GB"/>
        </w:rPr>
      </w:pPr>
      <w:r w:rsidRPr="00BE3545">
        <w:rPr>
          <w:rFonts w:eastAsia="Times" w:cstheme="minorHAnsi"/>
          <w:iCs/>
          <w:lang w:val="en-GB" w:eastAsia="it-IT"/>
        </w:rPr>
        <w:t xml:space="preserve">The Ordering Party informs that in the proceedings conducted as an open tender </w:t>
      </w:r>
      <w:r w:rsidRPr="00BE3545">
        <w:rPr>
          <w:rFonts w:cstheme="minorHAnsi"/>
          <w:lang w:val="en-GB"/>
        </w:rPr>
        <w:t xml:space="preserve">for </w:t>
      </w:r>
      <w:r w:rsidR="00D4650F" w:rsidRPr="00BE3545">
        <w:rPr>
          <w:rFonts w:cstheme="minorHAnsi"/>
          <w:b/>
          <w:lang w:val="en-GB"/>
        </w:rPr>
        <w:t>the</w:t>
      </w:r>
      <w:r w:rsidR="00D4650F" w:rsidRPr="00BE3545">
        <w:rPr>
          <w:rFonts w:cstheme="minorHAnsi"/>
          <w:b/>
          <w:bCs/>
          <w:lang w:val="en-GB"/>
        </w:rPr>
        <w:t xml:space="preserve"> delivery of the set comprising two metabolic chambers with equipment and fixture to the Clinical Research Support Centre at the Medical University of Bialystok</w:t>
      </w:r>
      <w:r w:rsidRPr="00BE3545">
        <w:rPr>
          <w:rFonts w:eastAsia="Times" w:cstheme="minorHAnsi"/>
          <w:iCs/>
          <w:lang w:val="en-GB" w:eastAsia="it-IT"/>
        </w:rPr>
        <w:t xml:space="preserve">, </w:t>
      </w:r>
      <w:r w:rsidRPr="00BE3545">
        <w:rPr>
          <w:rFonts w:eastAsia="Times" w:cstheme="minorHAnsi"/>
          <w:iCs/>
          <w:kern w:val="22"/>
          <w:lang w:val="en-GB" w:eastAsia="it-IT"/>
        </w:rPr>
        <w:t xml:space="preserve">in accordance with Article 137(1) of the Act of 11 September 2019. Public Procurement Law </w:t>
      </w:r>
      <w:r w:rsidR="00CD158B" w:rsidRPr="00BE3545">
        <w:rPr>
          <w:rFonts w:eastAsia="Times" w:cstheme="minorHAnsi"/>
          <w:iCs/>
          <w:kern w:val="22"/>
          <w:lang w:val="en-GB" w:eastAsia="it-IT"/>
        </w:rPr>
        <w:t xml:space="preserve">(i.e. Journal of </w:t>
      </w:r>
      <w:r w:rsidRPr="00BE3545">
        <w:rPr>
          <w:rFonts w:eastAsia="Times" w:cstheme="minorHAnsi"/>
          <w:iCs/>
          <w:kern w:val="22"/>
          <w:lang w:val="en-GB" w:eastAsia="it-IT"/>
        </w:rPr>
        <w:t xml:space="preserve">Laws </w:t>
      </w:r>
      <w:r w:rsidR="00CD158B" w:rsidRPr="00BE3545">
        <w:rPr>
          <w:rFonts w:eastAsia="Times" w:cstheme="minorHAnsi"/>
          <w:iCs/>
          <w:kern w:val="22"/>
          <w:lang w:val="en-GB" w:eastAsia="it-IT"/>
        </w:rPr>
        <w:t>2024, item 1320</w:t>
      </w:r>
      <w:r w:rsidR="00A136DE" w:rsidRPr="00BE3545">
        <w:rPr>
          <w:rFonts w:eastAsia="Times" w:cstheme="minorHAnsi"/>
          <w:iCs/>
          <w:kern w:val="22"/>
          <w:lang w:val="en-GB" w:eastAsia="it-IT"/>
        </w:rPr>
        <w:t>)</w:t>
      </w:r>
      <w:r w:rsidRPr="00BE3545">
        <w:rPr>
          <w:rFonts w:eastAsia="Times" w:cstheme="minorHAnsi"/>
          <w:iCs/>
          <w:kern w:val="22"/>
          <w:lang w:val="en-GB" w:eastAsia="it-IT"/>
        </w:rPr>
        <w:t xml:space="preserve">, </w:t>
      </w:r>
      <w:r w:rsidR="00A136DE" w:rsidRPr="00BE3545">
        <w:rPr>
          <w:rFonts w:eastAsia="Times" w:cstheme="minorHAnsi"/>
          <w:b/>
          <w:bCs/>
          <w:iCs/>
          <w:kern w:val="22"/>
          <w:lang w:val="en-GB" w:eastAsia="it-IT"/>
        </w:rPr>
        <w:t xml:space="preserve">the </w:t>
      </w:r>
      <w:r w:rsidR="00D4650F" w:rsidRPr="00BE3545">
        <w:rPr>
          <w:rFonts w:eastAsia="Times" w:cstheme="minorHAnsi"/>
          <w:b/>
          <w:bCs/>
          <w:iCs/>
          <w:kern w:val="22"/>
          <w:lang w:val="en-GB" w:eastAsia="it-IT"/>
        </w:rPr>
        <w:t>Ordering Party</w:t>
      </w:r>
      <w:r w:rsidR="00A136DE" w:rsidRPr="00BE3545">
        <w:rPr>
          <w:rFonts w:eastAsia="Times" w:cstheme="minorHAnsi"/>
          <w:b/>
          <w:bCs/>
          <w:iCs/>
          <w:kern w:val="22"/>
          <w:lang w:val="en-GB" w:eastAsia="it-IT"/>
        </w:rPr>
        <w:t xml:space="preserve"> shall amend the content of </w:t>
      </w:r>
      <w:r w:rsidRPr="00BE3545">
        <w:rPr>
          <w:rFonts w:eastAsia="Times" w:cstheme="minorHAnsi"/>
          <w:b/>
          <w:bCs/>
          <w:iCs/>
          <w:kern w:val="22"/>
          <w:lang w:val="en-GB" w:eastAsia="it-IT"/>
        </w:rPr>
        <w:t xml:space="preserve">the </w:t>
      </w:r>
      <w:proofErr w:type="spellStart"/>
      <w:r w:rsidR="00D4650F" w:rsidRPr="00BE3545">
        <w:rPr>
          <w:rFonts w:eastAsia="Times" w:cstheme="minorHAnsi"/>
          <w:b/>
          <w:bCs/>
          <w:iCs/>
          <w:kern w:val="22"/>
          <w:lang w:val="en-GB" w:eastAsia="it-IT"/>
        </w:rPr>
        <w:t>ToR</w:t>
      </w:r>
      <w:proofErr w:type="spellEnd"/>
      <w:r w:rsidRPr="00BE3545">
        <w:rPr>
          <w:rFonts w:eastAsia="Times" w:cstheme="minorHAnsi"/>
          <w:b/>
          <w:bCs/>
          <w:iCs/>
          <w:kern w:val="22"/>
          <w:lang w:val="en-GB" w:eastAsia="it-IT"/>
        </w:rPr>
        <w:t xml:space="preserve"> as follows:</w:t>
      </w:r>
    </w:p>
    <w:p w14:paraId="06B233E7" w14:textId="50109321" w:rsidR="00FE4A03" w:rsidRPr="00BE3545" w:rsidRDefault="00FE4A03" w:rsidP="00133877">
      <w:pPr>
        <w:spacing w:after="0" w:line="360" w:lineRule="auto"/>
        <w:rPr>
          <w:rFonts w:cstheme="minorHAnsi"/>
          <w:lang w:val="en-GB"/>
        </w:rPr>
      </w:pPr>
      <w:r w:rsidRPr="00BE3545">
        <w:rPr>
          <w:rFonts w:cstheme="minorHAnsi"/>
          <w:lang w:val="en-GB"/>
        </w:rPr>
        <w:t xml:space="preserve">- in Part XI of the </w:t>
      </w:r>
      <w:proofErr w:type="spellStart"/>
      <w:r w:rsidR="004876DE" w:rsidRPr="00BE3545">
        <w:rPr>
          <w:rFonts w:cstheme="minorHAnsi"/>
          <w:lang w:val="en-GB"/>
        </w:rPr>
        <w:t>ToR</w:t>
      </w:r>
      <w:proofErr w:type="spellEnd"/>
      <w:r w:rsidRPr="00BE3545">
        <w:rPr>
          <w:rFonts w:cstheme="minorHAnsi"/>
          <w:lang w:val="en-GB"/>
        </w:rPr>
        <w:t xml:space="preserve"> - Period of binding of the tender - point 1 is replaced by the following:</w:t>
      </w:r>
    </w:p>
    <w:p w14:paraId="52C606AD" w14:textId="68F27C8A" w:rsidR="00FE4A03" w:rsidRPr="00BE3545" w:rsidRDefault="00D4650F" w:rsidP="00133877">
      <w:pPr>
        <w:spacing w:line="360" w:lineRule="auto"/>
        <w:rPr>
          <w:rFonts w:cstheme="minorHAnsi"/>
          <w:b/>
          <w:i/>
          <w:lang w:val="en-GB"/>
        </w:rPr>
      </w:pPr>
      <w:r w:rsidRPr="00BE3545">
        <w:rPr>
          <w:rFonts w:cstheme="minorHAnsi"/>
          <w:b/>
          <w:i/>
          <w:lang w:val="en-GB"/>
        </w:rPr>
        <w:t>"1. The C</w:t>
      </w:r>
      <w:r w:rsidR="00FE4A03" w:rsidRPr="00BE3545">
        <w:rPr>
          <w:rFonts w:cstheme="minorHAnsi"/>
          <w:b/>
          <w:i/>
          <w:lang w:val="en-GB"/>
        </w:rPr>
        <w:t xml:space="preserve">ontractor submitting a tender shall be bound by it for no longer than 90 days from the deadline for submission of tenders, i.e. </w:t>
      </w:r>
      <w:r w:rsidR="00FE4A03" w:rsidRPr="00BE3545">
        <w:rPr>
          <w:rFonts w:cstheme="minorHAnsi"/>
          <w:b/>
          <w:i/>
          <w:color w:val="FF0000"/>
          <w:lang w:val="en-GB"/>
        </w:rPr>
        <w:t xml:space="preserve">until </w:t>
      </w:r>
      <w:r w:rsidR="009F167C" w:rsidRPr="00BE3545">
        <w:rPr>
          <w:rFonts w:cstheme="minorHAnsi"/>
          <w:b/>
          <w:i/>
          <w:color w:val="FF0000"/>
          <w:lang w:val="en-GB"/>
        </w:rPr>
        <w:t>27</w:t>
      </w:r>
      <w:r w:rsidR="00CD158B" w:rsidRPr="00BE3545">
        <w:rPr>
          <w:rFonts w:cstheme="minorHAnsi"/>
          <w:b/>
          <w:i/>
          <w:color w:val="FF0000"/>
          <w:lang w:val="en-GB"/>
        </w:rPr>
        <w:t>.07.2025</w:t>
      </w:r>
      <w:r w:rsidR="00FE4A03" w:rsidRPr="00BE3545">
        <w:rPr>
          <w:rFonts w:cstheme="minorHAnsi"/>
          <w:b/>
          <w:i/>
          <w:lang w:val="en-GB"/>
        </w:rPr>
        <w:t>."</w:t>
      </w:r>
    </w:p>
    <w:p w14:paraId="11B8D615" w14:textId="30CC72E5" w:rsidR="00FE4A03" w:rsidRPr="00BE3545" w:rsidRDefault="00FE4A03" w:rsidP="00133877">
      <w:pPr>
        <w:spacing w:after="0" w:line="360" w:lineRule="auto"/>
        <w:rPr>
          <w:rFonts w:cstheme="minorHAnsi"/>
          <w:lang w:val="en-GB"/>
        </w:rPr>
      </w:pPr>
      <w:r w:rsidRPr="00BE3545">
        <w:rPr>
          <w:rFonts w:cstheme="minorHAnsi"/>
          <w:lang w:val="en-GB"/>
        </w:rPr>
        <w:t xml:space="preserve">- in part XIV of the </w:t>
      </w:r>
      <w:proofErr w:type="spellStart"/>
      <w:r w:rsidR="00766A11" w:rsidRPr="00BE3545">
        <w:rPr>
          <w:rFonts w:cstheme="minorHAnsi"/>
          <w:lang w:val="en-GB"/>
        </w:rPr>
        <w:t>ToR</w:t>
      </w:r>
      <w:proofErr w:type="spellEnd"/>
      <w:r w:rsidRPr="00BE3545">
        <w:rPr>
          <w:rFonts w:cstheme="minorHAnsi"/>
          <w:lang w:val="en-GB"/>
        </w:rPr>
        <w:t xml:space="preserve"> - Method and deadline for submission of tenders - point 1 is replaced by the following:</w:t>
      </w:r>
    </w:p>
    <w:p w14:paraId="406A07A3" w14:textId="0C7B1D20" w:rsidR="00FE4A03" w:rsidRPr="00BE3545" w:rsidRDefault="00FE4A03" w:rsidP="00133877">
      <w:pPr>
        <w:spacing w:line="360" w:lineRule="auto"/>
        <w:ind w:left="426" w:hanging="426"/>
        <w:rPr>
          <w:rFonts w:cstheme="minorHAnsi"/>
          <w:b/>
          <w:i/>
          <w:color w:val="FF0000"/>
          <w:lang w:val="en-GB"/>
        </w:rPr>
      </w:pPr>
      <w:r w:rsidRPr="00BE3545">
        <w:rPr>
          <w:rFonts w:cstheme="minorHAnsi"/>
          <w:b/>
          <w:i/>
          <w:lang w:val="en-GB"/>
        </w:rPr>
        <w:t xml:space="preserve">"1. The tender must be submitted by </w:t>
      </w:r>
      <w:r w:rsidR="009F167C" w:rsidRPr="00BE3545">
        <w:rPr>
          <w:rFonts w:cstheme="minorHAnsi"/>
          <w:b/>
          <w:i/>
          <w:color w:val="FF0000"/>
          <w:lang w:val="en-GB"/>
        </w:rPr>
        <w:t>29</w:t>
      </w:r>
      <w:r w:rsidR="00CD158B" w:rsidRPr="00BE3545">
        <w:rPr>
          <w:rFonts w:cstheme="minorHAnsi"/>
          <w:b/>
          <w:i/>
          <w:color w:val="FF0000"/>
          <w:lang w:val="en-GB"/>
        </w:rPr>
        <w:t xml:space="preserve">.04.2025 </w:t>
      </w:r>
      <w:r w:rsidR="003841E8" w:rsidRPr="00BE3545">
        <w:rPr>
          <w:rFonts w:cstheme="minorHAnsi"/>
          <w:b/>
          <w:i/>
          <w:color w:val="FF0000"/>
          <w:lang w:val="en-GB"/>
        </w:rPr>
        <w:t>by</w:t>
      </w:r>
      <w:r w:rsidRPr="00BE3545">
        <w:rPr>
          <w:rFonts w:cstheme="minorHAnsi"/>
          <w:b/>
          <w:i/>
          <w:color w:val="FF0000"/>
          <w:lang w:val="en-GB"/>
        </w:rPr>
        <w:t xml:space="preserve"> 9.00 a.m."</w:t>
      </w:r>
    </w:p>
    <w:p w14:paraId="72092305" w14:textId="2D0CB340" w:rsidR="00FE4A03" w:rsidRPr="00BE3545" w:rsidRDefault="00FE4A03" w:rsidP="00133877">
      <w:pPr>
        <w:spacing w:after="0" w:line="360" w:lineRule="auto"/>
        <w:ind w:left="426" w:hanging="426"/>
        <w:rPr>
          <w:rFonts w:cstheme="minorHAnsi"/>
          <w:lang w:val="en-GB"/>
        </w:rPr>
      </w:pPr>
      <w:r w:rsidRPr="00BE3545">
        <w:rPr>
          <w:rFonts w:cstheme="minorHAnsi"/>
          <w:lang w:val="en-GB"/>
        </w:rPr>
        <w:t xml:space="preserve">- in part XV of the </w:t>
      </w:r>
      <w:proofErr w:type="spellStart"/>
      <w:r w:rsidR="00766A11" w:rsidRPr="00BE3545">
        <w:rPr>
          <w:rFonts w:cstheme="minorHAnsi"/>
          <w:lang w:val="en-GB"/>
        </w:rPr>
        <w:t>ToR</w:t>
      </w:r>
      <w:proofErr w:type="spellEnd"/>
      <w:r w:rsidRPr="00BE3545">
        <w:rPr>
          <w:rFonts w:cstheme="minorHAnsi"/>
          <w:lang w:val="en-GB"/>
        </w:rPr>
        <w:t xml:space="preserve"> - Deadline for </w:t>
      </w:r>
      <w:r w:rsidR="00A136DE" w:rsidRPr="00BE3545">
        <w:rPr>
          <w:rFonts w:cstheme="minorHAnsi"/>
          <w:lang w:val="en-GB"/>
        </w:rPr>
        <w:t xml:space="preserve">the opening of </w:t>
      </w:r>
      <w:r w:rsidRPr="00BE3545">
        <w:rPr>
          <w:rFonts w:cstheme="minorHAnsi"/>
          <w:lang w:val="en-GB"/>
        </w:rPr>
        <w:t>tenders - point 1 is replaced by the following:</w:t>
      </w:r>
    </w:p>
    <w:p w14:paraId="729223A8" w14:textId="2481090B" w:rsidR="00FE4A03" w:rsidRPr="00BE3545" w:rsidRDefault="00FE4A03" w:rsidP="00133877">
      <w:pPr>
        <w:spacing w:line="360" w:lineRule="auto"/>
        <w:ind w:left="426" w:hanging="426"/>
        <w:rPr>
          <w:rFonts w:cstheme="minorHAnsi"/>
          <w:b/>
          <w:i/>
          <w:lang w:val="en-GB"/>
        </w:rPr>
      </w:pPr>
      <w:r w:rsidRPr="00BE3545">
        <w:rPr>
          <w:rFonts w:cstheme="minorHAnsi"/>
          <w:b/>
          <w:i/>
          <w:lang w:val="en-GB"/>
        </w:rPr>
        <w:t xml:space="preserve">"1. The </w:t>
      </w:r>
      <w:r w:rsidR="00766A11" w:rsidRPr="00BE3545">
        <w:rPr>
          <w:rFonts w:cstheme="minorHAnsi"/>
          <w:b/>
          <w:i/>
          <w:lang w:val="en-GB"/>
        </w:rPr>
        <w:t>tenders</w:t>
      </w:r>
      <w:r w:rsidRPr="00BE3545">
        <w:rPr>
          <w:rFonts w:cstheme="minorHAnsi"/>
          <w:b/>
          <w:i/>
          <w:lang w:val="en-GB"/>
        </w:rPr>
        <w:t xml:space="preserve"> will be opened on </w:t>
      </w:r>
      <w:r w:rsidR="009F167C" w:rsidRPr="00BE3545">
        <w:rPr>
          <w:rFonts w:cstheme="minorHAnsi"/>
          <w:b/>
          <w:i/>
          <w:color w:val="FF0000"/>
          <w:lang w:val="en-GB"/>
        </w:rPr>
        <w:t>29</w:t>
      </w:r>
      <w:r w:rsidR="00CD158B" w:rsidRPr="00BE3545">
        <w:rPr>
          <w:rFonts w:cstheme="minorHAnsi"/>
          <w:b/>
          <w:i/>
          <w:color w:val="FF0000"/>
          <w:lang w:val="en-GB"/>
        </w:rPr>
        <w:t xml:space="preserve">.04.2025 </w:t>
      </w:r>
      <w:r w:rsidR="00133877" w:rsidRPr="00BE3545">
        <w:rPr>
          <w:rFonts w:cstheme="minorHAnsi"/>
          <w:b/>
          <w:i/>
          <w:color w:val="FF0000"/>
          <w:lang w:val="en-GB"/>
        </w:rPr>
        <w:t>at 09.05</w:t>
      </w:r>
      <w:r w:rsidRPr="00BE3545">
        <w:rPr>
          <w:rFonts w:cstheme="minorHAnsi"/>
          <w:b/>
          <w:i/>
          <w:color w:val="FF0000"/>
          <w:lang w:val="en-GB"/>
        </w:rPr>
        <w:t>.</w:t>
      </w:r>
      <w:r w:rsidRPr="00BE3545">
        <w:rPr>
          <w:rFonts w:cstheme="minorHAnsi"/>
          <w:b/>
          <w:i/>
          <w:lang w:val="en-GB"/>
        </w:rPr>
        <w:t>"</w:t>
      </w:r>
    </w:p>
    <w:p w14:paraId="35EE6DEF" w14:textId="213C6FAD" w:rsidR="005911F7" w:rsidRPr="00BE3545" w:rsidRDefault="005911F7" w:rsidP="005911F7">
      <w:pPr>
        <w:spacing w:line="276" w:lineRule="auto"/>
        <w:rPr>
          <w:rFonts w:eastAsia="Times New Roman" w:cstheme="minorHAnsi"/>
          <w:b/>
          <w:bCs/>
          <w:lang w:val="en-GB" w:eastAsia="pl-PL"/>
        </w:rPr>
      </w:pPr>
      <w:r w:rsidRPr="00BE3545">
        <w:rPr>
          <w:rFonts w:eastAsia="Times New Roman" w:cstheme="minorHAnsi"/>
          <w:b/>
          <w:bCs/>
          <w:lang w:val="en-GB" w:eastAsia="pl-PL"/>
        </w:rPr>
        <w:t xml:space="preserve">- The </w:t>
      </w:r>
      <w:r w:rsidR="00766A11" w:rsidRPr="00BE3545">
        <w:rPr>
          <w:rFonts w:eastAsia="Times New Roman" w:cstheme="minorHAnsi"/>
          <w:b/>
          <w:bCs/>
          <w:lang w:val="en-GB" w:eastAsia="pl-PL"/>
        </w:rPr>
        <w:t>Ordering Party</w:t>
      </w:r>
      <w:r w:rsidRPr="00BE3545">
        <w:rPr>
          <w:rFonts w:eastAsia="Times New Roman" w:cstheme="minorHAnsi"/>
          <w:b/>
          <w:bCs/>
          <w:lang w:val="en-GB" w:eastAsia="pl-PL"/>
        </w:rPr>
        <w:t xml:space="preserve"> </w:t>
      </w:r>
      <w:r w:rsidR="00C25170" w:rsidRPr="00BE3545">
        <w:rPr>
          <w:rFonts w:eastAsia="Times New Roman" w:cstheme="minorHAnsi"/>
          <w:b/>
          <w:bCs/>
          <w:lang w:val="en-GB" w:eastAsia="pl-PL"/>
        </w:rPr>
        <w:t xml:space="preserve">is amending the content of Annex 2 </w:t>
      </w:r>
      <w:r w:rsidRPr="00BE3545">
        <w:rPr>
          <w:rFonts w:eastAsia="Times New Roman" w:cstheme="minorHAnsi"/>
          <w:b/>
          <w:bCs/>
          <w:lang w:val="en-GB" w:eastAsia="pl-PL"/>
        </w:rPr>
        <w:t xml:space="preserve">to the </w:t>
      </w:r>
      <w:proofErr w:type="spellStart"/>
      <w:r w:rsidR="00766A11" w:rsidRPr="00BE3545">
        <w:rPr>
          <w:rFonts w:eastAsia="Times New Roman" w:cstheme="minorHAnsi"/>
          <w:b/>
          <w:bCs/>
          <w:lang w:val="en-GB" w:eastAsia="pl-PL"/>
        </w:rPr>
        <w:t>ToR</w:t>
      </w:r>
      <w:proofErr w:type="spellEnd"/>
      <w:r w:rsidRPr="00BE3545">
        <w:rPr>
          <w:rFonts w:eastAsia="Times New Roman" w:cstheme="minorHAnsi"/>
          <w:b/>
          <w:bCs/>
          <w:lang w:val="en-GB" w:eastAsia="pl-PL"/>
        </w:rPr>
        <w:t>:</w:t>
      </w:r>
    </w:p>
    <w:p w14:paraId="16FC4431" w14:textId="574C7098" w:rsidR="005911F7" w:rsidRPr="00BE3545" w:rsidRDefault="005911F7" w:rsidP="005911F7">
      <w:pPr>
        <w:numPr>
          <w:ilvl w:val="0"/>
          <w:numId w:val="11"/>
        </w:numPr>
        <w:spacing w:after="0" w:line="276" w:lineRule="auto"/>
        <w:ind w:left="284" w:hanging="142"/>
        <w:contextualSpacing/>
        <w:rPr>
          <w:rFonts w:eastAsia="Times New Roman" w:cstheme="minorHAnsi"/>
          <w:b/>
          <w:lang w:val="en-GB" w:eastAsia="x-none"/>
        </w:rPr>
      </w:pPr>
      <w:r w:rsidRPr="00BE3545">
        <w:rPr>
          <w:rFonts w:eastAsia="Times New Roman" w:cstheme="minorHAnsi"/>
          <w:b/>
          <w:lang w:val="en-GB" w:eastAsia="x-none"/>
        </w:rPr>
        <w:t xml:space="preserve">Characteristics of metabolic chambers and equipment point 7 </w:t>
      </w:r>
      <w:r w:rsidRPr="00BE3545">
        <w:rPr>
          <w:rFonts w:eastAsia="Times New Roman" w:cstheme="minorHAnsi"/>
          <w:lang w:val="en-GB" w:eastAsia="x-none"/>
        </w:rPr>
        <w:t>is replaced by the following</w:t>
      </w:r>
      <w:r w:rsidRPr="00BE3545">
        <w:rPr>
          <w:rFonts w:eastAsia="Times New Roman" w:cstheme="minorHAnsi"/>
          <w:b/>
          <w:lang w:val="en-GB" w:eastAsia="x-none"/>
        </w:rPr>
        <w:t xml:space="preserve">: </w:t>
      </w:r>
    </w:p>
    <w:p w14:paraId="08F2259B" w14:textId="387E6687" w:rsidR="005911F7" w:rsidRPr="00BE3545" w:rsidRDefault="005911F7" w:rsidP="005911F7">
      <w:pPr>
        <w:autoSpaceDE w:val="0"/>
        <w:autoSpaceDN w:val="0"/>
        <w:adjustRightInd w:val="0"/>
        <w:spacing w:before="120" w:after="360" w:line="276" w:lineRule="auto"/>
        <w:rPr>
          <w:rFonts w:eastAsia="Times New Roman" w:cstheme="minorHAnsi"/>
          <w:bCs/>
          <w:i/>
          <w:lang w:val="en-GB" w:eastAsia="pl-PL"/>
        </w:rPr>
      </w:pPr>
      <w:r w:rsidRPr="00BE3545">
        <w:rPr>
          <w:rFonts w:eastAsia="Times New Roman" w:cstheme="minorHAnsi"/>
          <w:bCs/>
          <w:i/>
          <w:lang w:val="en-GB" w:eastAsia="pl-PL"/>
        </w:rPr>
        <w:t>"</w:t>
      </w:r>
      <w:r w:rsidRPr="00BE3545">
        <w:rPr>
          <w:rFonts w:eastAsia="Times New Roman" w:cstheme="minorHAnsi"/>
          <w:bCs/>
          <w:lang w:val="en-GB" w:eastAsia="pl-PL"/>
        </w:rPr>
        <w:t>Each chamber shall be adapted to accommodate exercise equipment: sta</w:t>
      </w:r>
      <w:bookmarkStart w:id="0" w:name="_GoBack"/>
      <w:bookmarkEnd w:id="0"/>
      <w:r w:rsidRPr="00BE3545">
        <w:rPr>
          <w:rFonts w:eastAsia="Times New Roman" w:cstheme="minorHAnsi"/>
          <w:bCs/>
          <w:lang w:val="en-GB" w:eastAsia="pl-PL"/>
        </w:rPr>
        <w:t xml:space="preserve">tionary bicycle and treadmill </w:t>
      </w:r>
      <w:r w:rsidRPr="00BE3545">
        <w:rPr>
          <w:rFonts w:eastAsia="Times New Roman" w:cstheme="minorHAnsi"/>
          <w:bCs/>
          <w:color w:val="FF0000"/>
          <w:lang w:val="en-GB" w:eastAsia="pl-PL"/>
        </w:rPr>
        <w:t>(</w:t>
      </w:r>
      <w:r w:rsidRPr="00BE3545">
        <w:rPr>
          <w:rFonts w:eastAsia="Times New Roman" w:cstheme="minorHAnsi"/>
          <w:bCs/>
          <w:strike/>
          <w:color w:val="FF0000"/>
          <w:lang w:val="en-GB" w:eastAsia="pl-PL"/>
        </w:rPr>
        <w:t>listed equipment supplied with the chamber</w:t>
      </w:r>
      <w:r w:rsidRPr="00BE3545">
        <w:rPr>
          <w:rFonts w:eastAsia="Times New Roman" w:cstheme="minorHAnsi"/>
          <w:bCs/>
          <w:color w:val="FF0000"/>
          <w:lang w:val="en-GB" w:eastAsia="pl-PL"/>
        </w:rPr>
        <w:t xml:space="preserve">). </w:t>
      </w:r>
      <w:r w:rsidRPr="00BE3545">
        <w:rPr>
          <w:rFonts w:eastAsia="Times New Roman" w:cstheme="minorHAnsi"/>
          <w:bCs/>
          <w:lang w:val="en-GB" w:eastAsia="pl-PL"/>
        </w:rPr>
        <w:t>The chamber should be able to connect the above-mentioned equipment and allow monitoring of the patient's metabolic parameters during exercise. In this way, the chamber allows the study of energy expenditure and substrate burning both at rest and during physical activity."</w:t>
      </w:r>
    </w:p>
    <w:p w14:paraId="4C996ED2" w14:textId="58E35107" w:rsidR="005911F7" w:rsidRPr="00BE3545" w:rsidRDefault="005911F7" w:rsidP="005911F7">
      <w:pPr>
        <w:numPr>
          <w:ilvl w:val="0"/>
          <w:numId w:val="10"/>
        </w:numPr>
        <w:spacing w:after="0" w:line="276" w:lineRule="auto"/>
        <w:contextualSpacing/>
        <w:rPr>
          <w:rFonts w:eastAsia="Times New Roman" w:cstheme="minorHAnsi"/>
          <w:b/>
          <w:bCs/>
          <w:lang w:val="en-GB" w:eastAsia="pl-PL"/>
        </w:rPr>
      </w:pPr>
      <w:r w:rsidRPr="00BE3545">
        <w:rPr>
          <w:rFonts w:eastAsia="Times New Roman" w:cstheme="minorHAnsi"/>
          <w:b/>
          <w:bCs/>
          <w:lang w:val="en-GB" w:eastAsia="pl-PL"/>
        </w:rPr>
        <w:t xml:space="preserve">GENERAL REQUIREMENTS point 1 </w:t>
      </w:r>
      <w:r w:rsidRPr="00BE3545">
        <w:rPr>
          <w:rFonts w:eastAsia="Times New Roman" w:cstheme="minorHAnsi"/>
          <w:bCs/>
          <w:lang w:val="en-GB" w:eastAsia="pl-PL"/>
        </w:rPr>
        <w:t>is replaced by the following</w:t>
      </w:r>
    </w:p>
    <w:p w14:paraId="640E3F23" w14:textId="24E53337" w:rsidR="005911F7" w:rsidRPr="00BE3545" w:rsidRDefault="005911F7" w:rsidP="005911F7">
      <w:pPr>
        <w:autoSpaceDE w:val="0"/>
        <w:autoSpaceDN w:val="0"/>
        <w:adjustRightInd w:val="0"/>
        <w:spacing w:before="120" w:after="360" w:line="276" w:lineRule="auto"/>
        <w:rPr>
          <w:rFonts w:eastAsia="Times New Roman" w:cstheme="minorHAnsi"/>
          <w:bCs/>
          <w:lang w:val="en-GB" w:eastAsia="pl-PL"/>
        </w:rPr>
      </w:pPr>
      <w:r w:rsidRPr="00BE3545">
        <w:rPr>
          <w:rFonts w:eastAsia="Times New Roman" w:cstheme="minorHAnsi"/>
          <w:bCs/>
          <w:lang w:val="en-GB" w:eastAsia="pl-PL"/>
        </w:rPr>
        <w:t xml:space="preserve">"The metabolic chamber is covered by a min. </w:t>
      </w:r>
      <w:r w:rsidRPr="00BE3545">
        <w:rPr>
          <w:rFonts w:eastAsia="Times New Roman" w:cstheme="minorHAnsi"/>
          <w:bCs/>
          <w:color w:val="FF0000"/>
          <w:lang w:val="en-GB" w:eastAsia="pl-PL"/>
        </w:rPr>
        <w:t xml:space="preserve">3 </w:t>
      </w:r>
      <w:r w:rsidR="00766A11" w:rsidRPr="00BE3545">
        <w:rPr>
          <w:rFonts w:eastAsia="Times New Roman" w:cstheme="minorHAnsi"/>
          <w:bCs/>
          <w:lang w:val="en-GB" w:eastAsia="pl-PL"/>
        </w:rPr>
        <w:t>years</w:t>
      </w:r>
      <w:r w:rsidRPr="00BE3545">
        <w:rPr>
          <w:rFonts w:eastAsia="Times New Roman" w:cstheme="minorHAnsi"/>
          <w:bCs/>
          <w:lang w:val="en-GB" w:eastAsia="pl-PL"/>
        </w:rPr>
        <w:t xml:space="preserve"> warranty, which shall commence upon commissioning and shall cover the entire kit, excluding consumables such as filters and calibration gases. The warranty ensures that any defects in the system, resulting from manufacturing or installation errors, will be repaired by the manufacturer."</w:t>
      </w:r>
    </w:p>
    <w:p w14:paraId="1F892B40" w14:textId="27BB886D" w:rsidR="00C25170" w:rsidRPr="00BE3545" w:rsidRDefault="00C25170" w:rsidP="00C25170">
      <w:pPr>
        <w:spacing w:line="276" w:lineRule="auto"/>
        <w:rPr>
          <w:rFonts w:eastAsia="Times New Roman" w:cstheme="minorHAnsi"/>
          <w:b/>
          <w:bCs/>
          <w:lang w:val="en-GB" w:eastAsia="pl-PL"/>
        </w:rPr>
      </w:pPr>
      <w:r w:rsidRPr="00BE3545">
        <w:rPr>
          <w:rFonts w:eastAsia="Times New Roman" w:cstheme="minorHAnsi"/>
          <w:b/>
          <w:bCs/>
          <w:lang w:val="en-GB" w:eastAsia="pl-PL"/>
        </w:rPr>
        <w:t xml:space="preserve">- The </w:t>
      </w:r>
      <w:r w:rsidR="00766A11" w:rsidRPr="00BE3545">
        <w:rPr>
          <w:rFonts w:eastAsia="Times New Roman" w:cstheme="minorHAnsi"/>
          <w:b/>
          <w:bCs/>
          <w:lang w:val="en-GB" w:eastAsia="pl-PL"/>
        </w:rPr>
        <w:t>Ordering Party</w:t>
      </w:r>
      <w:r w:rsidRPr="00BE3545">
        <w:rPr>
          <w:rFonts w:eastAsia="Times New Roman" w:cstheme="minorHAnsi"/>
          <w:b/>
          <w:bCs/>
          <w:lang w:val="en-GB" w:eastAsia="pl-PL"/>
        </w:rPr>
        <w:t xml:space="preserve"> is amending the content of Annex 4 to the </w:t>
      </w:r>
      <w:proofErr w:type="spellStart"/>
      <w:r w:rsidR="00766A11" w:rsidRPr="00BE3545">
        <w:rPr>
          <w:rFonts w:eastAsia="Times New Roman" w:cstheme="minorHAnsi"/>
          <w:b/>
          <w:bCs/>
          <w:lang w:val="en-GB" w:eastAsia="pl-PL"/>
        </w:rPr>
        <w:t>ToR</w:t>
      </w:r>
      <w:proofErr w:type="spellEnd"/>
      <w:r w:rsidRPr="00BE3545">
        <w:rPr>
          <w:rFonts w:eastAsia="Times New Roman" w:cstheme="minorHAnsi"/>
          <w:b/>
          <w:bCs/>
          <w:lang w:val="en-GB" w:eastAsia="pl-PL"/>
        </w:rPr>
        <w:t>:</w:t>
      </w:r>
    </w:p>
    <w:p w14:paraId="29A225A3" w14:textId="15030684" w:rsidR="005911F7" w:rsidRPr="00BE3545" w:rsidRDefault="005911F7" w:rsidP="005911F7">
      <w:pPr>
        <w:spacing w:after="0" w:line="276" w:lineRule="auto"/>
        <w:rPr>
          <w:rFonts w:eastAsia="Times New Roman" w:cstheme="minorHAnsi"/>
          <w:bCs/>
          <w:lang w:val="en-GB" w:eastAsia="pl-PL"/>
        </w:rPr>
      </w:pPr>
      <w:r w:rsidRPr="00BE3545">
        <w:rPr>
          <w:rFonts w:eastAsia="SimSun" w:cstheme="minorHAnsi"/>
          <w:b/>
          <w:bCs/>
          <w:caps/>
          <w:kern w:val="2"/>
          <w:lang w:val="en-GB" w:eastAsia="hi-IN" w:bidi="hi-IN"/>
        </w:rPr>
        <w:t xml:space="preserve">the assessment of the WARRANTY TERMS </w:t>
      </w:r>
      <w:r w:rsidRPr="00BE3545">
        <w:rPr>
          <w:rFonts w:eastAsia="Times New Roman" w:cstheme="minorHAnsi"/>
          <w:bCs/>
          <w:lang w:val="en-GB" w:eastAsia="pl-PL"/>
        </w:rPr>
        <w:t xml:space="preserve">is replaced by the following:  </w:t>
      </w:r>
    </w:p>
    <w:p w14:paraId="336F7E41" w14:textId="158BA769" w:rsidR="005911F7" w:rsidRPr="00BE3545" w:rsidRDefault="005911F7" w:rsidP="005911F7">
      <w:pPr>
        <w:spacing w:after="0" w:line="276" w:lineRule="auto"/>
        <w:rPr>
          <w:rFonts w:eastAsia="SimSun" w:cstheme="minorHAnsi"/>
          <w:bCs/>
          <w:caps/>
          <w:kern w:val="2"/>
          <w:lang w:val="en-GB" w:eastAsia="hi-IN" w:bidi="hi-IN"/>
        </w:rPr>
      </w:pPr>
      <w:r w:rsidRPr="00BE3545">
        <w:rPr>
          <w:rFonts w:eastAsia="Times New Roman" w:cstheme="minorHAnsi"/>
          <w:bCs/>
          <w:lang w:val="en-GB" w:eastAsia="pl-PL"/>
        </w:rPr>
        <w:t>"Guarantee period not less than 36 months</w:t>
      </w:r>
    </w:p>
    <w:p w14:paraId="574B5EF3" w14:textId="77777777" w:rsidR="005911F7" w:rsidRPr="00BE3545" w:rsidRDefault="005911F7" w:rsidP="005911F7">
      <w:pPr>
        <w:autoSpaceDE w:val="0"/>
        <w:autoSpaceDN w:val="0"/>
        <w:adjustRightInd w:val="0"/>
        <w:spacing w:before="120" w:after="360" w:line="276" w:lineRule="auto"/>
        <w:rPr>
          <w:rFonts w:eastAsia="Times New Roman" w:cstheme="minorHAnsi"/>
          <w:bCs/>
          <w:lang w:val="en-GB" w:eastAsia="pl-PL"/>
        </w:rPr>
      </w:pPr>
      <w:r w:rsidRPr="00BE3545">
        <w:rPr>
          <w:rFonts w:eastAsia="Times New Roman" w:cstheme="minorHAnsi"/>
          <w:bCs/>
          <w:lang w:val="en-GB" w:eastAsia="pl-PL"/>
        </w:rPr>
        <w:t xml:space="preserve">A scoring period of </w:t>
      </w:r>
      <w:r w:rsidRPr="00BE3545">
        <w:rPr>
          <w:rFonts w:eastAsia="Times New Roman" w:cstheme="minorHAnsi"/>
          <w:bCs/>
          <w:color w:val="FF0000"/>
          <w:lang w:val="en-GB" w:eastAsia="pl-PL"/>
        </w:rPr>
        <w:t>36 months to 48 months</w:t>
      </w:r>
      <w:r w:rsidRPr="00BE3545">
        <w:rPr>
          <w:rFonts w:eastAsia="Times New Roman" w:cstheme="minorHAnsi"/>
          <w:bCs/>
          <w:lang w:val="en-GB" w:eastAsia="pl-PL"/>
        </w:rPr>
        <w:t>.</w:t>
      </w:r>
    </w:p>
    <w:p w14:paraId="01867A3B" w14:textId="77777777" w:rsidR="005911F7" w:rsidRPr="00BE3545" w:rsidRDefault="005911F7" w:rsidP="005911F7">
      <w:pPr>
        <w:autoSpaceDE w:val="0"/>
        <w:autoSpaceDN w:val="0"/>
        <w:adjustRightInd w:val="0"/>
        <w:spacing w:before="120" w:after="0" w:line="276" w:lineRule="auto"/>
        <w:rPr>
          <w:rFonts w:eastAsia="Times New Roman" w:cstheme="minorHAnsi"/>
          <w:bCs/>
          <w:lang w:val="en-GB" w:eastAsia="pl-PL"/>
        </w:rPr>
      </w:pPr>
      <w:r w:rsidRPr="00BE3545">
        <w:rPr>
          <w:rFonts w:eastAsia="Times New Roman" w:cstheme="minorHAnsi"/>
          <w:bCs/>
          <w:lang w:val="en-GB" w:eastAsia="pl-PL"/>
        </w:rPr>
        <w:lastRenderedPageBreak/>
        <w:t xml:space="preserve">NOTES: </w:t>
      </w:r>
    </w:p>
    <w:p w14:paraId="1F0BD6C4" w14:textId="77777777" w:rsidR="005911F7" w:rsidRPr="00BE3545" w:rsidRDefault="005911F7" w:rsidP="005911F7">
      <w:pPr>
        <w:autoSpaceDE w:val="0"/>
        <w:autoSpaceDN w:val="0"/>
        <w:adjustRightInd w:val="0"/>
        <w:spacing w:before="120" w:after="0" w:line="276" w:lineRule="auto"/>
        <w:rPr>
          <w:rFonts w:eastAsia="Times New Roman" w:cstheme="minorHAnsi"/>
          <w:bCs/>
          <w:lang w:val="en-GB" w:eastAsia="pl-PL"/>
        </w:rPr>
      </w:pPr>
      <w:r w:rsidRPr="00BE3545">
        <w:rPr>
          <w:rFonts w:eastAsia="Times New Roman" w:cstheme="minorHAnsi"/>
          <w:bCs/>
          <w:lang w:val="en-GB" w:eastAsia="pl-PL"/>
        </w:rPr>
        <w:t>the length of the guarantee period must be stated in whole months,</w:t>
      </w:r>
    </w:p>
    <w:p w14:paraId="243AF2ED" w14:textId="77777777" w:rsidR="005911F7" w:rsidRPr="00BE3545" w:rsidRDefault="005911F7" w:rsidP="005911F7">
      <w:pPr>
        <w:autoSpaceDE w:val="0"/>
        <w:autoSpaceDN w:val="0"/>
        <w:adjustRightInd w:val="0"/>
        <w:spacing w:before="120" w:after="0" w:line="276" w:lineRule="auto"/>
        <w:rPr>
          <w:rFonts w:eastAsia="Times New Roman" w:cstheme="minorHAnsi"/>
          <w:bCs/>
          <w:lang w:val="en-GB" w:eastAsia="pl-PL"/>
        </w:rPr>
      </w:pPr>
      <w:r w:rsidRPr="00BE3545">
        <w:rPr>
          <w:rFonts w:eastAsia="Times New Roman" w:cstheme="minorHAnsi"/>
          <w:bCs/>
          <w:lang w:val="en-GB" w:eastAsia="pl-PL"/>
        </w:rPr>
        <w:t>in the event that the Contractor:</w:t>
      </w:r>
    </w:p>
    <w:p w14:paraId="04862549" w14:textId="0898DC74" w:rsidR="005911F7" w:rsidRPr="00BE3545" w:rsidRDefault="005911F7" w:rsidP="005911F7">
      <w:pPr>
        <w:autoSpaceDE w:val="0"/>
        <w:autoSpaceDN w:val="0"/>
        <w:adjustRightInd w:val="0"/>
        <w:spacing w:after="0" w:line="276" w:lineRule="auto"/>
        <w:rPr>
          <w:rFonts w:eastAsia="Times New Roman" w:cstheme="minorHAnsi"/>
          <w:bCs/>
          <w:lang w:val="en-GB" w:eastAsia="pl-PL"/>
        </w:rPr>
      </w:pPr>
      <w:r w:rsidRPr="00BE3545">
        <w:rPr>
          <w:rFonts w:eastAsia="Times New Roman" w:cstheme="minorHAnsi"/>
          <w:bCs/>
          <w:lang w:val="en-GB" w:eastAsia="pl-PL"/>
        </w:rPr>
        <w:t xml:space="preserve">- does not enter any guarantee period, the </w:t>
      </w:r>
      <w:r w:rsidR="004876DE" w:rsidRPr="00BE3545">
        <w:rPr>
          <w:rFonts w:eastAsia="Times New Roman" w:cstheme="minorHAnsi"/>
          <w:bCs/>
          <w:lang w:val="en-GB" w:eastAsia="pl-PL"/>
        </w:rPr>
        <w:t>Ordering Party</w:t>
      </w:r>
      <w:r w:rsidRPr="00BE3545">
        <w:rPr>
          <w:rFonts w:eastAsia="Times New Roman" w:cstheme="minorHAnsi"/>
          <w:bCs/>
          <w:lang w:val="en-GB" w:eastAsia="pl-PL"/>
        </w:rPr>
        <w:t xml:space="preserve"> will assume that the Contractor provides the minimum guarantee period (</w:t>
      </w:r>
      <w:r w:rsidRPr="00BE3545">
        <w:rPr>
          <w:rFonts w:eastAsia="Times New Roman" w:cstheme="minorHAnsi"/>
          <w:bCs/>
          <w:color w:val="FF0000"/>
          <w:lang w:val="en-GB" w:eastAsia="pl-PL"/>
        </w:rPr>
        <w:t>36 months</w:t>
      </w:r>
      <w:r w:rsidRPr="00BE3545">
        <w:rPr>
          <w:rFonts w:eastAsia="Times New Roman" w:cstheme="minorHAnsi"/>
          <w:bCs/>
          <w:lang w:val="en-GB" w:eastAsia="pl-PL"/>
        </w:rPr>
        <w:t>),</w:t>
      </w:r>
    </w:p>
    <w:p w14:paraId="29511FAD" w14:textId="5C8108D1" w:rsidR="005911F7" w:rsidRPr="00BE3545" w:rsidRDefault="005911F7" w:rsidP="005911F7">
      <w:pPr>
        <w:autoSpaceDE w:val="0"/>
        <w:autoSpaceDN w:val="0"/>
        <w:adjustRightInd w:val="0"/>
        <w:spacing w:before="120" w:line="276" w:lineRule="auto"/>
        <w:rPr>
          <w:rFonts w:eastAsia="Times New Roman" w:cstheme="minorHAnsi"/>
          <w:bCs/>
          <w:lang w:val="en-GB" w:eastAsia="pl-PL"/>
        </w:rPr>
      </w:pPr>
      <w:r w:rsidRPr="00BE3545">
        <w:rPr>
          <w:rFonts w:eastAsia="Times New Roman" w:cstheme="minorHAnsi"/>
          <w:bCs/>
          <w:lang w:val="en-GB" w:eastAsia="pl-PL"/>
        </w:rPr>
        <w:t>- enters the warranty p</w:t>
      </w:r>
      <w:r w:rsidR="003841E8" w:rsidRPr="00BE3545">
        <w:rPr>
          <w:rFonts w:eastAsia="Times New Roman" w:cstheme="minorHAnsi"/>
          <w:bCs/>
          <w:lang w:val="en-GB" w:eastAsia="pl-PL"/>
        </w:rPr>
        <w:t>eriod in incomplete months, the</w:t>
      </w:r>
      <w:r w:rsidRPr="00BE3545">
        <w:rPr>
          <w:rFonts w:eastAsia="Times New Roman" w:cstheme="minorHAnsi"/>
          <w:bCs/>
          <w:lang w:val="en-GB" w:eastAsia="pl-PL"/>
        </w:rPr>
        <w:t xml:space="preserve"> </w:t>
      </w:r>
      <w:r w:rsidR="004876DE" w:rsidRPr="00BE3545">
        <w:rPr>
          <w:rFonts w:eastAsia="Times New Roman" w:cstheme="minorHAnsi"/>
          <w:bCs/>
          <w:lang w:val="en-GB" w:eastAsia="pl-PL"/>
        </w:rPr>
        <w:t xml:space="preserve">Ordering Party </w:t>
      </w:r>
      <w:r w:rsidRPr="00BE3545">
        <w:rPr>
          <w:rFonts w:eastAsia="Times New Roman" w:cstheme="minorHAnsi"/>
          <w:bCs/>
          <w:lang w:val="en-GB" w:eastAsia="pl-PL"/>
        </w:rPr>
        <w:t>will calculate the warranty period by rounding down,</w:t>
      </w:r>
    </w:p>
    <w:p w14:paraId="71FC4988" w14:textId="52312A7E" w:rsidR="005911F7" w:rsidRPr="00BE3545" w:rsidRDefault="005911F7" w:rsidP="005911F7">
      <w:pPr>
        <w:autoSpaceDE w:val="0"/>
        <w:autoSpaceDN w:val="0"/>
        <w:adjustRightInd w:val="0"/>
        <w:spacing w:before="120" w:after="360" w:line="276" w:lineRule="auto"/>
        <w:rPr>
          <w:rFonts w:eastAsia="Times New Roman" w:cstheme="minorHAnsi"/>
          <w:bCs/>
          <w:lang w:val="en-GB" w:eastAsia="pl-PL"/>
        </w:rPr>
      </w:pPr>
      <w:r w:rsidRPr="00BE3545">
        <w:rPr>
          <w:rFonts w:eastAsia="Times New Roman" w:cstheme="minorHAnsi"/>
          <w:bCs/>
          <w:lang w:val="en-GB" w:eastAsia="pl-PL"/>
        </w:rPr>
        <w:t>- enters a warranty period shorter than the minimum (</w:t>
      </w:r>
      <w:r w:rsidRPr="00BE3545">
        <w:rPr>
          <w:rFonts w:eastAsia="Times New Roman" w:cstheme="minorHAnsi"/>
          <w:bCs/>
          <w:color w:val="FF0000"/>
          <w:lang w:val="en-GB" w:eastAsia="pl-PL"/>
        </w:rPr>
        <w:t>36 months</w:t>
      </w:r>
      <w:r w:rsidRPr="00BE3545">
        <w:rPr>
          <w:rFonts w:eastAsia="Times New Roman" w:cstheme="minorHAnsi"/>
          <w:bCs/>
          <w:lang w:val="en-GB" w:eastAsia="pl-PL"/>
        </w:rPr>
        <w:t xml:space="preserve">), the </w:t>
      </w:r>
      <w:r w:rsidR="004876DE" w:rsidRPr="00BE3545">
        <w:rPr>
          <w:rFonts w:eastAsia="Times New Roman" w:cstheme="minorHAnsi"/>
          <w:bCs/>
          <w:lang w:val="en-GB" w:eastAsia="pl-PL"/>
        </w:rPr>
        <w:t>Ordering Party</w:t>
      </w:r>
      <w:r w:rsidRPr="00BE3545">
        <w:rPr>
          <w:rFonts w:eastAsia="Times New Roman" w:cstheme="minorHAnsi"/>
          <w:bCs/>
          <w:lang w:val="en-GB" w:eastAsia="pl-PL"/>
        </w:rPr>
        <w:t xml:space="preserve"> will reject the offer as non-compliant."</w:t>
      </w:r>
    </w:p>
    <w:p w14:paraId="5DC1FB6E" w14:textId="2523F4BA" w:rsidR="00C25170" w:rsidRPr="00BE3545" w:rsidRDefault="00C25170" w:rsidP="00C25170">
      <w:pPr>
        <w:suppressAutoHyphens/>
        <w:overflowPunct w:val="0"/>
        <w:autoSpaceDE w:val="0"/>
        <w:spacing w:after="0" w:line="360" w:lineRule="auto"/>
        <w:ind w:left="284" w:hanging="284"/>
        <w:rPr>
          <w:rFonts w:ascii="Calibri" w:eastAsia="Times New Roman" w:hAnsi="Calibri" w:cs="Calibri"/>
          <w:i/>
          <w:color w:val="000000"/>
          <w:lang w:val="en-GB" w:eastAsia="zh-CN"/>
        </w:rPr>
      </w:pPr>
      <w:r w:rsidRPr="00BE3545">
        <w:rPr>
          <w:rFonts w:ascii="Calibri" w:eastAsia="Times New Roman" w:hAnsi="Calibri" w:cs="Calibri"/>
          <w:i/>
          <w:iCs/>
          <w:color w:val="000000"/>
          <w:lang w:val="en-GB" w:eastAsia="pl-PL"/>
        </w:rPr>
        <w:t xml:space="preserve">The </w:t>
      </w:r>
      <w:r w:rsidR="004876DE" w:rsidRPr="00BE3545">
        <w:rPr>
          <w:rFonts w:ascii="Calibri" w:eastAsia="Times New Roman" w:hAnsi="Calibri" w:cs="Calibri"/>
          <w:i/>
          <w:iCs/>
          <w:color w:val="000000"/>
          <w:lang w:val="en-GB" w:eastAsia="pl-PL"/>
        </w:rPr>
        <w:t>Ordering Party</w:t>
      </w:r>
      <w:r w:rsidRPr="00BE3545">
        <w:rPr>
          <w:rFonts w:ascii="Calibri" w:eastAsia="Times New Roman" w:hAnsi="Calibri" w:cs="Calibri"/>
          <w:i/>
          <w:iCs/>
          <w:color w:val="000000"/>
          <w:lang w:val="en-GB" w:eastAsia="pl-PL"/>
        </w:rPr>
        <w:t xml:space="preserve"> is introducing a new binding document:</w:t>
      </w:r>
    </w:p>
    <w:p w14:paraId="2BC35233" w14:textId="41378F9C" w:rsidR="00C25170" w:rsidRPr="00BE3545" w:rsidRDefault="00C25170" w:rsidP="00C25170">
      <w:pPr>
        <w:numPr>
          <w:ilvl w:val="0"/>
          <w:numId w:val="12"/>
        </w:numPr>
        <w:spacing w:before="240" w:after="3" w:line="360" w:lineRule="auto"/>
        <w:contextualSpacing/>
        <w:rPr>
          <w:rFonts w:ascii="Calibri" w:eastAsia="Times New Roman" w:hAnsi="Calibri" w:cs="Calibri"/>
          <w:b/>
          <w:i/>
          <w:iCs/>
          <w:color w:val="000000"/>
          <w:lang w:val="en-GB" w:eastAsia="pl-PL"/>
        </w:rPr>
      </w:pPr>
      <w:r w:rsidRPr="00BE3545">
        <w:rPr>
          <w:rFonts w:ascii="Calibri" w:eastAsia="Times New Roman" w:hAnsi="Calibri" w:cs="Calibri"/>
          <w:b/>
          <w:i/>
          <w:iCs/>
          <w:color w:val="000000"/>
          <w:lang w:val="en-GB" w:eastAsia="pl-PL"/>
        </w:rPr>
        <w:t xml:space="preserve">Annexes 2, 4 to the </w:t>
      </w:r>
      <w:proofErr w:type="spellStart"/>
      <w:r w:rsidR="004876DE" w:rsidRPr="00BE3545">
        <w:rPr>
          <w:rFonts w:ascii="Calibri" w:eastAsia="Times New Roman" w:hAnsi="Calibri" w:cs="Calibri"/>
          <w:b/>
          <w:i/>
          <w:iCs/>
          <w:color w:val="000000"/>
          <w:lang w:val="en-GB" w:eastAsia="pl-PL"/>
        </w:rPr>
        <w:t>ToR</w:t>
      </w:r>
      <w:proofErr w:type="spellEnd"/>
      <w:r w:rsidRPr="00BE3545">
        <w:rPr>
          <w:rFonts w:ascii="Calibri" w:eastAsia="Times New Roman" w:hAnsi="Calibri" w:cs="Calibri"/>
          <w:b/>
          <w:i/>
          <w:iCs/>
          <w:color w:val="000000"/>
          <w:lang w:val="en-GB" w:eastAsia="pl-PL"/>
        </w:rPr>
        <w:t xml:space="preserve"> - </w:t>
      </w:r>
      <w:r w:rsidRPr="00BE3545">
        <w:rPr>
          <w:rFonts w:ascii="Calibri" w:eastAsia="Times New Roman" w:hAnsi="Calibri" w:cs="Calibri"/>
          <w:i/>
          <w:iCs/>
          <w:color w:val="000000"/>
          <w:lang w:val="en-GB" w:eastAsia="pl-PL"/>
        </w:rPr>
        <w:t>documents attached.</w:t>
      </w:r>
    </w:p>
    <w:p w14:paraId="6B6EE55B" w14:textId="592AA2AD" w:rsidR="00FE4A03" w:rsidRPr="00BE3545" w:rsidRDefault="00FE4A03" w:rsidP="00133877">
      <w:pPr>
        <w:pStyle w:val="Akapitzlist"/>
        <w:numPr>
          <w:ilvl w:val="0"/>
          <w:numId w:val="9"/>
        </w:numPr>
        <w:spacing w:after="200" w:line="360" w:lineRule="auto"/>
        <w:ind w:left="426" w:hanging="426"/>
        <w:rPr>
          <w:rFonts w:eastAsia="Times" w:cstheme="minorHAnsi"/>
          <w:b/>
          <w:iCs/>
          <w:sz w:val="22"/>
          <w:szCs w:val="22"/>
          <w:lang w:val="en-GB" w:eastAsia="it-IT"/>
        </w:rPr>
      </w:pPr>
      <w:r w:rsidRPr="00BE3545">
        <w:rPr>
          <w:rFonts w:eastAsia="Times" w:cstheme="minorHAnsi"/>
          <w:iCs/>
          <w:sz w:val="22"/>
          <w:szCs w:val="22"/>
          <w:lang w:val="en-GB" w:eastAsia="it-IT"/>
        </w:rPr>
        <w:t xml:space="preserve">The amendments are binding on Contractors and the </w:t>
      </w:r>
      <w:r w:rsidR="004876DE" w:rsidRPr="00BE3545">
        <w:rPr>
          <w:rFonts w:eastAsia="Times" w:cstheme="minorHAnsi"/>
          <w:iCs/>
          <w:sz w:val="22"/>
          <w:szCs w:val="22"/>
          <w:lang w:val="en-GB" w:eastAsia="it-IT"/>
        </w:rPr>
        <w:t>Ordering Party</w:t>
      </w:r>
      <w:r w:rsidRPr="00BE3545">
        <w:rPr>
          <w:rFonts w:eastAsia="Times" w:cstheme="minorHAnsi"/>
          <w:iCs/>
          <w:sz w:val="22"/>
          <w:szCs w:val="22"/>
          <w:lang w:val="en-GB" w:eastAsia="it-IT"/>
        </w:rPr>
        <w:t xml:space="preserve">. </w:t>
      </w:r>
    </w:p>
    <w:p w14:paraId="79500028" w14:textId="5A7CE65B" w:rsidR="00FE4A03" w:rsidRPr="00BE3545" w:rsidRDefault="00FE4A03" w:rsidP="00133877">
      <w:pPr>
        <w:numPr>
          <w:ilvl w:val="0"/>
          <w:numId w:val="9"/>
        </w:numPr>
        <w:autoSpaceDN w:val="0"/>
        <w:spacing w:line="360" w:lineRule="auto"/>
        <w:ind w:left="426" w:hanging="426"/>
        <w:rPr>
          <w:rFonts w:eastAsia="Times" w:cstheme="minorHAnsi"/>
          <w:iCs/>
          <w:lang w:val="en-GB" w:eastAsia="it-IT"/>
        </w:rPr>
      </w:pPr>
      <w:r w:rsidRPr="00BE3545">
        <w:rPr>
          <w:rFonts w:eastAsia="Times" w:cstheme="minorHAnsi"/>
          <w:iCs/>
          <w:lang w:val="en-GB" w:eastAsia="it-IT"/>
        </w:rPr>
        <w:t xml:space="preserve">The remaining provisions of the </w:t>
      </w:r>
      <w:proofErr w:type="spellStart"/>
      <w:r w:rsidR="004876DE" w:rsidRPr="00BE3545">
        <w:rPr>
          <w:rFonts w:eastAsia="Times" w:cstheme="minorHAnsi"/>
          <w:iCs/>
          <w:lang w:val="en-GB" w:eastAsia="it-IT"/>
        </w:rPr>
        <w:t>ToR</w:t>
      </w:r>
      <w:proofErr w:type="spellEnd"/>
      <w:r w:rsidRPr="00BE3545">
        <w:rPr>
          <w:rFonts w:eastAsia="Times" w:cstheme="minorHAnsi"/>
          <w:iCs/>
          <w:lang w:val="en-GB" w:eastAsia="it-IT"/>
        </w:rPr>
        <w:t xml:space="preserve"> remain unchanged.</w:t>
      </w:r>
    </w:p>
    <w:p w14:paraId="12B2A2D7" w14:textId="5E31F317" w:rsidR="00DA4115" w:rsidRPr="00BE3545" w:rsidRDefault="00FE4A03" w:rsidP="00133877">
      <w:pPr>
        <w:numPr>
          <w:ilvl w:val="0"/>
          <w:numId w:val="9"/>
        </w:numPr>
        <w:autoSpaceDN w:val="0"/>
        <w:spacing w:after="0" w:line="360" w:lineRule="auto"/>
        <w:ind w:left="426" w:hanging="426"/>
        <w:rPr>
          <w:rFonts w:cstheme="minorHAnsi"/>
          <w:color w:val="FF0000"/>
          <w:lang w:val="en-GB"/>
        </w:rPr>
      </w:pPr>
      <w:r w:rsidRPr="00BE3545">
        <w:rPr>
          <w:rFonts w:eastAsia="Times" w:cstheme="minorHAnsi"/>
          <w:iCs/>
          <w:lang w:val="en-GB" w:eastAsia="it-IT"/>
        </w:rPr>
        <w:t xml:space="preserve">The </w:t>
      </w:r>
      <w:r w:rsidR="004876DE" w:rsidRPr="00BE3545">
        <w:rPr>
          <w:rFonts w:eastAsia="Times" w:cstheme="minorHAnsi"/>
          <w:iCs/>
          <w:lang w:val="en-GB" w:eastAsia="it-IT"/>
        </w:rPr>
        <w:t>Ordering Party</w:t>
      </w:r>
      <w:r w:rsidRPr="00BE3545">
        <w:rPr>
          <w:rFonts w:eastAsia="Times" w:cstheme="minorHAnsi"/>
          <w:iCs/>
          <w:lang w:val="en-GB" w:eastAsia="it-IT"/>
        </w:rPr>
        <w:t xml:space="preserve"> informs that the changes made to the content of the </w:t>
      </w:r>
      <w:proofErr w:type="spellStart"/>
      <w:r w:rsidR="003841E8" w:rsidRPr="00BE3545">
        <w:rPr>
          <w:rFonts w:eastAsia="Times" w:cstheme="minorHAnsi"/>
          <w:iCs/>
          <w:lang w:val="en-GB" w:eastAsia="it-IT"/>
        </w:rPr>
        <w:t>ToR</w:t>
      </w:r>
      <w:proofErr w:type="spellEnd"/>
      <w:r w:rsidRPr="00BE3545">
        <w:rPr>
          <w:rFonts w:eastAsia="Times" w:cstheme="minorHAnsi"/>
          <w:iCs/>
          <w:lang w:val="en-GB" w:eastAsia="it-IT"/>
        </w:rPr>
        <w:t xml:space="preserve"> </w:t>
      </w:r>
      <w:r w:rsidRPr="00BE3545">
        <w:rPr>
          <w:rFonts w:eastAsia="Times" w:cstheme="minorHAnsi"/>
          <w:b/>
          <w:iCs/>
          <w:lang w:val="en-GB" w:eastAsia="it-IT"/>
        </w:rPr>
        <w:t xml:space="preserve">lead </w:t>
      </w:r>
      <w:r w:rsidRPr="00BE3545">
        <w:rPr>
          <w:rFonts w:eastAsia="Times" w:cstheme="minorHAnsi"/>
          <w:iCs/>
          <w:lang w:val="en-GB" w:eastAsia="it-IT"/>
        </w:rPr>
        <w:t>to changes in the c</w:t>
      </w:r>
      <w:r w:rsidR="004876DE" w:rsidRPr="00BE3545">
        <w:rPr>
          <w:rFonts w:eastAsia="Times" w:cstheme="minorHAnsi"/>
          <w:iCs/>
          <w:lang w:val="en-GB" w:eastAsia="it-IT"/>
        </w:rPr>
        <w:t xml:space="preserve">ontent of the contract notice. </w:t>
      </w:r>
      <w:r w:rsidRPr="00BE3545">
        <w:rPr>
          <w:rFonts w:cstheme="minorHAnsi"/>
          <w:iCs/>
          <w:color w:val="FF0000"/>
          <w:lang w:val="en-GB" w:eastAsia="it-IT"/>
        </w:rPr>
        <w:tab/>
        <w:t xml:space="preserve">   </w:t>
      </w:r>
      <w:r w:rsidRPr="00BE3545">
        <w:rPr>
          <w:rFonts w:cstheme="minorHAnsi"/>
          <w:b/>
          <w:iCs/>
          <w:color w:val="FF0000"/>
          <w:lang w:val="en-GB" w:eastAsia="it-IT"/>
        </w:rPr>
        <w:t xml:space="preserve">  </w:t>
      </w:r>
      <w:r w:rsidRPr="00BE3545">
        <w:rPr>
          <w:rFonts w:cstheme="minorHAnsi"/>
          <w:b/>
          <w:iCs/>
          <w:color w:val="FF0000"/>
          <w:lang w:val="en-GB" w:eastAsia="it-IT"/>
        </w:rPr>
        <w:tab/>
      </w:r>
      <w:r w:rsidRPr="00BE3545">
        <w:rPr>
          <w:rFonts w:cstheme="minorHAnsi"/>
          <w:b/>
          <w:iCs/>
          <w:color w:val="FF0000"/>
          <w:lang w:val="en-GB" w:eastAsia="it-IT"/>
        </w:rPr>
        <w:tab/>
      </w:r>
    </w:p>
    <w:p w14:paraId="42908E7E" w14:textId="39356CEF" w:rsidR="00FE4A03" w:rsidRPr="00BE3545" w:rsidRDefault="00DA4115" w:rsidP="00133877">
      <w:pPr>
        <w:tabs>
          <w:tab w:val="left" w:pos="0"/>
        </w:tabs>
        <w:spacing w:after="0" w:line="360" w:lineRule="auto"/>
        <w:rPr>
          <w:rFonts w:cstheme="minorHAnsi"/>
          <w:b/>
          <w:lang w:val="en-GB"/>
        </w:rPr>
      </w:pPr>
      <w:r w:rsidRPr="00BE3545">
        <w:rPr>
          <w:rFonts w:cstheme="minorHAnsi"/>
          <w:lang w:val="en-GB"/>
        </w:rPr>
        <w:tab/>
      </w:r>
    </w:p>
    <w:p w14:paraId="7F6ECE8C" w14:textId="52EEAD36" w:rsidR="00DA4115" w:rsidRPr="00BE3545" w:rsidRDefault="00DA4115" w:rsidP="00133877">
      <w:pPr>
        <w:spacing w:after="0" w:line="360" w:lineRule="auto"/>
        <w:rPr>
          <w:rFonts w:cstheme="minorHAnsi"/>
          <w:bCs/>
          <w:color w:val="000000"/>
          <w:spacing w:val="-4"/>
          <w:lang w:val="en-GB"/>
        </w:rPr>
      </w:pPr>
      <w:r w:rsidRPr="00BE3545">
        <w:rPr>
          <w:rFonts w:cstheme="minorHAnsi"/>
          <w:b/>
          <w:lang w:val="en-GB"/>
        </w:rPr>
        <w:t xml:space="preserve">On behalf of the </w:t>
      </w:r>
      <w:r w:rsidR="004876DE" w:rsidRPr="00BE3545">
        <w:rPr>
          <w:rFonts w:cstheme="minorHAnsi"/>
          <w:b/>
          <w:lang w:val="en-GB"/>
        </w:rPr>
        <w:t>Ordering Party t</w:t>
      </w:r>
      <w:r w:rsidRPr="00BE3545">
        <w:rPr>
          <w:rFonts w:cstheme="minorHAnsi"/>
          <w:b/>
          <w:lang w:val="en-GB"/>
        </w:rPr>
        <w:t xml:space="preserve">he Chancellor of the </w:t>
      </w:r>
      <w:r w:rsidR="004876DE" w:rsidRPr="00BE3545">
        <w:rPr>
          <w:rFonts w:cstheme="minorHAnsi"/>
          <w:b/>
          <w:lang w:val="en-GB"/>
        </w:rPr>
        <w:t>MUB</w:t>
      </w:r>
      <w:r w:rsidR="00133877" w:rsidRPr="00BE3545">
        <w:rPr>
          <w:rFonts w:cstheme="minorHAnsi"/>
          <w:b/>
          <w:lang w:val="en-GB"/>
        </w:rPr>
        <w:t xml:space="preserve">, Konrad </w:t>
      </w:r>
      <w:proofErr w:type="spellStart"/>
      <w:r w:rsidR="00133877" w:rsidRPr="00BE3545">
        <w:rPr>
          <w:rFonts w:cstheme="minorHAnsi"/>
          <w:b/>
          <w:lang w:val="en-GB"/>
        </w:rPr>
        <w:t>Raczkowski</w:t>
      </w:r>
      <w:proofErr w:type="spellEnd"/>
      <w:r w:rsidR="00133877" w:rsidRPr="00BE3545">
        <w:rPr>
          <w:rFonts w:cstheme="minorHAnsi"/>
          <w:b/>
          <w:lang w:val="en-GB"/>
        </w:rPr>
        <w:t xml:space="preserve">, MA </w:t>
      </w:r>
      <w:r w:rsidR="00C25170" w:rsidRPr="00BE3545">
        <w:rPr>
          <w:rFonts w:cstheme="minorHAnsi"/>
          <w:lang w:val="en-GB"/>
        </w:rPr>
        <w:t>/signature on original/</w:t>
      </w:r>
    </w:p>
    <w:p w14:paraId="0D15E34A" w14:textId="6E56950B" w:rsidR="00DA4115" w:rsidRPr="00BE3545" w:rsidRDefault="00511262" w:rsidP="00133877">
      <w:pPr>
        <w:spacing w:after="0" w:line="360" w:lineRule="auto"/>
        <w:ind w:left="5664"/>
        <w:rPr>
          <w:rFonts w:cstheme="minorHAnsi"/>
          <w:b/>
          <w:lang w:val="en-GB"/>
        </w:rPr>
      </w:pPr>
      <w:r w:rsidRPr="00BE3545">
        <w:rPr>
          <w:rFonts w:cstheme="minorHAnsi"/>
          <w:b/>
          <w:lang w:val="en-GB"/>
        </w:rPr>
        <w:t xml:space="preserve">              </w:t>
      </w:r>
      <w:r w:rsidR="00DA4115" w:rsidRPr="00BE3545">
        <w:rPr>
          <w:rFonts w:cstheme="minorHAnsi"/>
          <w:b/>
          <w:lang w:val="en-GB"/>
        </w:rPr>
        <w:t xml:space="preserve">         </w:t>
      </w:r>
    </w:p>
    <w:p w14:paraId="77A19BBD" w14:textId="4C45FADB" w:rsidR="00511262" w:rsidRPr="00BE3545" w:rsidRDefault="00DA4115" w:rsidP="00133877">
      <w:pPr>
        <w:spacing w:after="0" w:line="360" w:lineRule="auto"/>
        <w:ind w:left="5664"/>
        <w:rPr>
          <w:rFonts w:cstheme="minorHAnsi"/>
          <w:lang w:val="en-GB"/>
        </w:rPr>
      </w:pPr>
      <w:r w:rsidRPr="00BE3545">
        <w:rPr>
          <w:rFonts w:cstheme="minorHAnsi"/>
          <w:b/>
          <w:lang w:val="en-GB"/>
        </w:rPr>
        <w:t xml:space="preserve">                                                                                   </w:t>
      </w:r>
      <w:r w:rsidR="00511262" w:rsidRPr="00BE3545">
        <w:rPr>
          <w:rFonts w:cstheme="minorHAnsi"/>
          <w:b/>
          <w:lang w:val="en-GB"/>
        </w:rPr>
        <w:t xml:space="preserve">     </w:t>
      </w:r>
    </w:p>
    <w:p w14:paraId="503704B5" w14:textId="77777777" w:rsidR="00511262" w:rsidRPr="00BE3545" w:rsidRDefault="00511262" w:rsidP="00133877">
      <w:pPr>
        <w:ind w:left="5664"/>
        <w:rPr>
          <w:rFonts w:cstheme="minorHAnsi"/>
          <w:b/>
          <w:lang w:val="en-GB"/>
        </w:rPr>
      </w:pPr>
    </w:p>
    <w:p w14:paraId="456A64A3" w14:textId="77777777" w:rsidR="00DA4115" w:rsidRPr="00BE3545" w:rsidRDefault="00DA4115" w:rsidP="00133877">
      <w:pPr>
        <w:ind w:firstLine="851"/>
        <w:rPr>
          <w:rFonts w:cstheme="minorHAnsi"/>
          <w:b/>
          <w:lang w:val="en-GB"/>
        </w:rPr>
      </w:pPr>
      <w:r w:rsidRPr="00BE3545">
        <w:rPr>
          <w:rFonts w:cstheme="minorHAnsi"/>
          <w:lang w:val="en-GB"/>
        </w:rPr>
        <w:t xml:space="preserve">                    </w:t>
      </w:r>
    </w:p>
    <w:p w14:paraId="1DA3AAB7" w14:textId="77777777" w:rsidR="00DA4115" w:rsidRPr="00BE3545" w:rsidRDefault="00DA4115" w:rsidP="00DA4115">
      <w:pPr>
        <w:rPr>
          <w:rFonts w:ascii="Times New Roman" w:hAnsi="Times New Roman" w:cs="Times New Roman"/>
          <w:lang w:val="en-GB"/>
        </w:rPr>
      </w:pPr>
    </w:p>
    <w:p w14:paraId="6248335D" w14:textId="77777777" w:rsidR="002A5AB8" w:rsidRPr="00BE3545" w:rsidRDefault="002A5AB8" w:rsidP="008C6B1B">
      <w:pPr>
        <w:spacing w:after="0" w:line="240" w:lineRule="auto"/>
        <w:rPr>
          <w:rFonts w:ascii="Times New Roman" w:hAnsi="Times New Roman" w:cs="Times New Roman"/>
          <w:lang w:val="en-GB"/>
        </w:rPr>
      </w:pPr>
    </w:p>
    <w:sectPr w:rsidR="002A5AB8" w:rsidRPr="00BE3545" w:rsidSect="00610068">
      <w:footerReference w:type="default" r:id="rId8"/>
      <w:pgSz w:w="11906" w:h="16838"/>
      <w:pgMar w:top="1702" w:right="1417" w:bottom="851" w:left="141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7E9F8" w14:textId="77777777" w:rsidR="0077639D" w:rsidRDefault="0077639D" w:rsidP="007D0747">
      <w:pPr>
        <w:spacing w:after="0" w:line="240" w:lineRule="auto"/>
      </w:pPr>
      <w:r>
        <w:separator/>
      </w:r>
    </w:p>
  </w:endnote>
  <w:endnote w:type="continuationSeparator" w:id="0">
    <w:p w14:paraId="5EF89BD7" w14:textId="77777777" w:rsidR="0077639D" w:rsidRDefault="0077639D" w:rsidP="007D0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3EF80" w14:textId="408E453C" w:rsidR="00610068" w:rsidRPr="00CD158B" w:rsidRDefault="00CD158B" w:rsidP="00CD158B">
    <w:pPr>
      <w:spacing w:after="0" w:line="240" w:lineRule="auto"/>
      <w:jc w:val="center"/>
      <w:rPr>
        <w:rFonts w:ascii="Times New Roman" w:eastAsia="Times New Roman" w:hAnsi="Times New Roman" w:cs="Times New Roman"/>
        <w:sz w:val="16"/>
        <w:szCs w:val="16"/>
        <w:lang w:eastAsia="pl-PL"/>
      </w:rPr>
    </w:pPr>
    <w:bookmarkStart w:id="1" w:name="_Hlk63320999"/>
    <w:bookmarkStart w:id="2" w:name="_Hlk63321000"/>
    <w:r>
      <w:rPr>
        <w:noProof/>
        <w:lang w:val="en-GB" w:eastAsia="en-GB"/>
      </w:rPr>
      <w:drawing>
        <wp:inline distT="0" distB="0" distL="0" distR="0" wp14:anchorId="2D02EC62" wp14:editId="6433406B">
          <wp:extent cx="5385170" cy="530225"/>
          <wp:effectExtent l="0" t="0" r="6350" b="317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91" cy="531753"/>
                  </a:xfrm>
                  <a:prstGeom prst="rect">
                    <a:avLst/>
                  </a:prstGeom>
                  <a:noFill/>
                </pic:spPr>
              </pic:pic>
            </a:graphicData>
          </a:graphic>
        </wp:inline>
      </w:drawing>
    </w:r>
    <w:r w:rsidR="00610068">
      <w:rPr>
        <w:noProof/>
        <w:lang w:eastAsia="pl-PL"/>
      </w:rPr>
      <w:t xml:space="preserve">   </w:t>
    </w:r>
  </w:p>
  <w:bookmarkEnd w:id="1"/>
  <w:bookmarkEnd w:id="2"/>
  <w:p w14:paraId="55FAE2E4" w14:textId="77777777" w:rsidR="00610068" w:rsidRDefault="006100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36B08" w14:textId="77777777" w:rsidR="0077639D" w:rsidRDefault="0077639D" w:rsidP="007D0747">
      <w:pPr>
        <w:spacing w:after="0" w:line="240" w:lineRule="auto"/>
      </w:pPr>
      <w:r>
        <w:separator/>
      </w:r>
    </w:p>
  </w:footnote>
  <w:footnote w:type="continuationSeparator" w:id="0">
    <w:p w14:paraId="72E1518D" w14:textId="77777777" w:rsidR="0077639D" w:rsidRDefault="0077639D" w:rsidP="007D07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B0F4B"/>
    <w:multiLevelType w:val="hybridMultilevel"/>
    <w:tmpl w:val="5D6ED3D6"/>
    <w:lvl w:ilvl="0" w:tplc="FE18645A">
      <w:start w:val="2"/>
      <w:numFmt w:val="upperRoman"/>
      <w:lvlText w:val="%1."/>
      <w:lvlJc w:val="righ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2783766C"/>
    <w:multiLevelType w:val="singleLevel"/>
    <w:tmpl w:val="D1262F5C"/>
    <w:lvl w:ilvl="0">
      <w:start w:val="1"/>
      <w:numFmt w:val="decimal"/>
      <w:lvlText w:val="%1."/>
      <w:lvlJc w:val="left"/>
      <w:pPr>
        <w:tabs>
          <w:tab w:val="num" w:pos="720"/>
        </w:tabs>
        <w:ind w:left="720" w:hanging="360"/>
      </w:pPr>
    </w:lvl>
  </w:abstractNum>
  <w:abstractNum w:abstractNumId="2" w15:restartNumberingAfterBreak="0">
    <w:nsid w:val="36B62A28"/>
    <w:multiLevelType w:val="hybridMultilevel"/>
    <w:tmpl w:val="C20CF660"/>
    <w:lvl w:ilvl="0" w:tplc="5C98A64E">
      <w:start w:val="1"/>
      <w:numFmt w:val="decimal"/>
      <w:lvlText w:val="%1)"/>
      <w:lvlJc w:val="left"/>
      <w:pPr>
        <w:ind w:left="360" w:hanging="360"/>
      </w:pPr>
      <w:rPr>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AE349B9"/>
    <w:multiLevelType w:val="multilevel"/>
    <w:tmpl w:val="8CAE6E70"/>
    <w:lvl w:ilvl="0">
      <w:start w:val="1"/>
      <w:numFmt w:val="upperRoman"/>
      <w:lvlText w:val="%1."/>
      <w:lvlJc w:val="left"/>
      <w:pPr>
        <w:ind w:left="1713" w:hanging="720"/>
      </w:pPr>
      <w:rPr>
        <w:rFonts w:ascii="Times New Roman" w:eastAsia="Times" w:hAnsi="Times New Roman" w:cs="Times New Roman" w:hint="default"/>
        <w:b/>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C46D0C"/>
    <w:multiLevelType w:val="hybridMultilevel"/>
    <w:tmpl w:val="0E424CB4"/>
    <w:lvl w:ilvl="0" w:tplc="0409000F">
      <w:start w:val="1"/>
      <w:numFmt w:val="decimal"/>
      <w:lvlText w:val="%1."/>
      <w:lvlJc w:val="left"/>
      <w:pPr>
        <w:ind w:left="720" w:hanging="360"/>
      </w:pPr>
    </w:lvl>
    <w:lvl w:ilvl="1" w:tplc="065403A0">
      <w:numFmt w:val="bullet"/>
      <w:lvlText w:val=""/>
      <w:lvlJc w:val="left"/>
      <w:pPr>
        <w:ind w:left="1440" w:hanging="360"/>
      </w:pPr>
      <w:rPr>
        <w:rFonts w:ascii="Symbol" w:eastAsiaTheme="minorEastAsia" w:hAnsi="Symbol"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9D67F5"/>
    <w:multiLevelType w:val="hybridMultilevel"/>
    <w:tmpl w:val="3F0C217A"/>
    <w:lvl w:ilvl="0" w:tplc="FABEE726">
      <w:start w:val="2"/>
      <w:numFmt w:val="upp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2692D7F"/>
    <w:multiLevelType w:val="hybridMultilevel"/>
    <w:tmpl w:val="0D1AE26E"/>
    <w:lvl w:ilvl="0" w:tplc="3D1A7C42">
      <w:start w:val="1"/>
      <w:numFmt w:val="decimal"/>
      <w:lvlText w:val="%1)"/>
      <w:lvlJc w:val="left"/>
      <w:pPr>
        <w:ind w:left="360" w:hanging="360"/>
      </w:pPr>
      <w:rPr>
        <w:rFonts w:eastAsia="Calibri"/>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73B778C8"/>
    <w:multiLevelType w:val="hybridMultilevel"/>
    <w:tmpl w:val="50F2E24C"/>
    <w:lvl w:ilvl="0" w:tplc="048A95E8">
      <w:start w:val="3"/>
      <w:numFmt w:val="bullet"/>
      <w:lvlText w:val="-"/>
      <w:lvlJc w:val="left"/>
      <w:pPr>
        <w:ind w:left="720" w:hanging="360"/>
      </w:pPr>
      <w:rPr>
        <w:rFonts w:ascii="Calibri" w:eastAsia="Times New Roman" w:hAnsi="Calibri" w:cs="Calibri"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4B10873"/>
    <w:multiLevelType w:val="hybridMultilevel"/>
    <w:tmpl w:val="9DE25E66"/>
    <w:lvl w:ilvl="0" w:tplc="39A82A2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74C45EAE"/>
    <w:multiLevelType w:val="hybridMultilevel"/>
    <w:tmpl w:val="03567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D1577"/>
    <w:multiLevelType w:val="singleLevel"/>
    <w:tmpl w:val="6630B0E8"/>
    <w:lvl w:ilvl="0">
      <w:start w:val="2"/>
      <w:numFmt w:val="bullet"/>
      <w:lvlText w:val="-"/>
      <w:lvlJc w:val="left"/>
      <w:pPr>
        <w:tabs>
          <w:tab w:val="num" w:pos="405"/>
        </w:tabs>
        <w:ind w:left="405" w:hanging="360"/>
      </w:pPr>
    </w:lvl>
  </w:abstractNum>
  <w:num w:numId="1">
    <w:abstractNumId w:val="4"/>
  </w:num>
  <w:num w:numId="2">
    <w:abstractNumId w:val="9"/>
  </w:num>
  <w:num w:numId="3">
    <w:abstractNumId w:val="2"/>
  </w:num>
  <w:num w:numId="4">
    <w:abstractNumId w:va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
    <w:lvlOverride w:ilvl="0">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747"/>
    <w:rsid w:val="00060E52"/>
    <w:rsid w:val="00090F7C"/>
    <w:rsid w:val="000F4844"/>
    <w:rsid w:val="000F6F9E"/>
    <w:rsid w:val="00133877"/>
    <w:rsid w:val="00157310"/>
    <w:rsid w:val="00163529"/>
    <w:rsid w:val="0018417E"/>
    <w:rsid w:val="00194313"/>
    <w:rsid w:val="001C03E0"/>
    <w:rsid w:val="001F40C2"/>
    <w:rsid w:val="001F7E65"/>
    <w:rsid w:val="00262691"/>
    <w:rsid w:val="0026275C"/>
    <w:rsid w:val="002649CA"/>
    <w:rsid w:val="00272DF2"/>
    <w:rsid w:val="002736CC"/>
    <w:rsid w:val="0029714E"/>
    <w:rsid w:val="002A5AB8"/>
    <w:rsid w:val="002C26E2"/>
    <w:rsid w:val="002C3C76"/>
    <w:rsid w:val="002F1DB8"/>
    <w:rsid w:val="003424CB"/>
    <w:rsid w:val="003841E8"/>
    <w:rsid w:val="003A0D64"/>
    <w:rsid w:val="003A6371"/>
    <w:rsid w:val="00454534"/>
    <w:rsid w:val="00462BFF"/>
    <w:rsid w:val="004876DE"/>
    <w:rsid w:val="004B0FDD"/>
    <w:rsid w:val="004B55DA"/>
    <w:rsid w:val="004F5049"/>
    <w:rsid w:val="00501518"/>
    <w:rsid w:val="00511262"/>
    <w:rsid w:val="005274E3"/>
    <w:rsid w:val="00534798"/>
    <w:rsid w:val="0053760E"/>
    <w:rsid w:val="00556224"/>
    <w:rsid w:val="005911F7"/>
    <w:rsid w:val="005B2454"/>
    <w:rsid w:val="005C01ED"/>
    <w:rsid w:val="005C6266"/>
    <w:rsid w:val="005C6528"/>
    <w:rsid w:val="005D3D79"/>
    <w:rsid w:val="005F296E"/>
    <w:rsid w:val="006016E7"/>
    <w:rsid w:val="00610068"/>
    <w:rsid w:val="00661DEB"/>
    <w:rsid w:val="006704AB"/>
    <w:rsid w:val="0069703F"/>
    <w:rsid w:val="006B5450"/>
    <w:rsid w:val="00757B70"/>
    <w:rsid w:val="00766A11"/>
    <w:rsid w:val="00775C59"/>
    <w:rsid w:val="0077639D"/>
    <w:rsid w:val="0079548F"/>
    <w:rsid w:val="007A1D6D"/>
    <w:rsid w:val="007A6A70"/>
    <w:rsid w:val="007B7CED"/>
    <w:rsid w:val="007D0747"/>
    <w:rsid w:val="007D316A"/>
    <w:rsid w:val="0080114C"/>
    <w:rsid w:val="008036E3"/>
    <w:rsid w:val="0080692F"/>
    <w:rsid w:val="008141AD"/>
    <w:rsid w:val="0082728E"/>
    <w:rsid w:val="008411B7"/>
    <w:rsid w:val="00845949"/>
    <w:rsid w:val="008554AC"/>
    <w:rsid w:val="00882E8F"/>
    <w:rsid w:val="008B52A6"/>
    <w:rsid w:val="008C6B1B"/>
    <w:rsid w:val="00917E6F"/>
    <w:rsid w:val="009443AE"/>
    <w:rsid w:val="009778D3"/>
    <w:rsid w:val="009F167C"/>
    <w:rsid w:val="00A024A4"/>
    <w:rsid w:val="00A136DE"/>
    <w:rsid w:val="00A60B15"/>
    <w:rsid w:val="00A9184A"/>
    <w:rsid w:val="00AC07AE"/>
    <w:rsid w:val="00AC17A2"/>
    <w:rsid w:val="00AE0D84"/>
    <w:rsid w:val="00AE7B8B"/>
    <w:rsid w:val="00B22AD4"/>
    <w:rsid w:val="00B41161"/>
    <w:rsid w:val="00B54F97"/>
    <w:rsid w:val="00B95577"/>
    <w:rsid w:val="00BA226A"/>
    <w:rsid w:val="00BB7CD7"/>
    <w:rsid w:val="00BC50D9"/>
    <w:rsid w:val="00BE3545"/>
    <w:rsid w:val="00C25170"/>
    <w:rsid w:val="00C4778E"/>
    <w:rsid w:val="00CD158B"/>
    <w:rsid w:val="00CF03AC"/>
    <w:rsid w:val="00D4650F"/>
    <w:rsid w:val="00D52675"/>
    <w:rsid w:val="00D534BA"/>
    <w:rsid w:val="00DA4115"/>
    <w:rsid w:val="00DB124A"/>
    <w:rsid w:val="00DC3B57"/>
    <w:rsid w:val="00DF4A6C"/>
    <w:rsid w:val="00E42F90"/>
    <w:rsid w:val="00EC339F"/>
    <w:rsid w:val="00ED7547"/>
    <w:rsid w:val="00EE1D67"/>
    <w:rsid w:val="00EE7D81"/>
    <w:rsid w:val="00F65542"/>
    <w:rsid w:val="00F95CDA"/>
    <w:rsid w:val="00FC6BF5"/>
    <w:rsid w:val="00FE4A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DECA0"/>
  <w15:chartTrackingRefBased/>
  <w15:docId w15:val="{9C8A7092-21C5-4BEC-BB1D-42095113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9703F"/>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7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747"/>
  </w:style>
  <w:style w:type="paragraph" w:styleId="Stopka">
    <w:name w:val="footer"/>
    <w:basedOn w:val="Normalny"/>
    <w:link w:val="StopkaZnak"/>
    <w:uiPriority w:val="99"/>
    <w:unhideWhenUsed/>
    <w:rsid w:val="007D07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747"/>
  </w:style>
  <w:style w:type="paragraph" w:styleId="Tekstdymka">
    <w:name w:val="Balloon Text"/>
    <w:basedOn w:val="Normalny"/>
    <w:link w:val="TekstdymkaZnak"/>
    <w:uiPriority w:val="99"/>
    <w:semiHidden/>
    <w:unhideWhenUsed/>
    <w:rsid w:val="007A6A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6A70"/>
    <w:rPr>
      <w:rFonts w:ascii="Segoe UI" w:hAnsi="Segoe UI" w:cs="Segoe UI"/>
      <w:sz w:val="18"/>
      <w:szCs w:val="18"/>
    </w:rPr>
  </w:style>
  <w:style w:type="paragraph" w:styleId="NormalnyWeb">
    <w:name w:val="Normal (Web)"/>
    <w:basedOn w:val="Normalny"/>
    <w:uiPriority w:val="99"/>
    <w:unhideWhenUsed/>
    <w:rsid w:val="007D316A"/>
    <w:pPr>
      <w:spacing w:before="100" w:beforeAutospacing="1" w:after="100" w:afterAutospacing="1" w:line="240" w:lineRule="auto"/>
    </w:pPr>
    <w:rPr>
      <w:rFonts w:ascii="Times" w:eastAsiaTheme="minorEastAsia" w:hAnsi="Times" w:cs="Times New Roman"/>
      <w:sz w:val="20"/>
      <w:szCs w:val="20"/>
      <w:lang w:val="cs-CZ" w:eastAsia="pl-PL"/>
    </w:rPr>
  </w:style>
  <w:style w:type="paragraph" w:styleId="Akapitzlist">
    <w:name w:val="List Paragraph"/>
    <w:aliases w:val="maz_wyliczenie,opis dzialania,K-P_odwolanie,A_wyliczenie,Akapit z listą 1,List Paragraph1,T_SZ_List Paragraph,Lista PR,Numerowanie,Kolorowa lista — akcent 11,CW_Lista,L1,Akapit z listą5,normalny tekst,Akapit z listą BS,List Paragraph"/>
    <w:basedOn w:val="Normalny"/>
    <w:link w:val="AkapitzlistZnak"/>
    <w:uiPriority w:val="34"/>
    <w:qFormat/>
    <w:rsid w:val="007D316A"/>
    <w:pPr>
      <w:spacing w:after="0" w:line="240" w:lineRule="auto"/>
      <w:ind w:left="720"/>
      <w:contextualSpacing/>
    </w:pPr>
    <w:rPr>
      <w:rFonts w:eastAsiaTheme="minorEastAsia"/>
      <w:sz w:val="24"/>
      <w:szCs w:val="24"/>
      <w:lang w:val="cs-CZ" w:eastAsia="pl-PL"/>
    </w:rPr>
  </w:style>
  <w:style w:type="character" w:styleId="Hipercze">
    <w:name w:val="Hyperlink"/>
    <w:basedOn w:val="Domylnaczcionkaakapitu"/>
    <w:uiPriority w:val="99"/>
    <w:unhideWhenUsed/>
    <w:rsid w:val="007D316A"/>
    <w:rPr>
      <w:color w:val="0563C1" w:themeColor="hyperlink"/>
      <w:u w:val="single"/>
    </w:rPr>
  </w:style>
  <w:style w:type="table" w:styleId="Tabela-Siatka">
    <w:name w:val="Table Grid"/>
    <w:basedOn w:val="Standardowy"/>
    <w:uiPriority w:val="39"/>
    <w:rsid w:val="00EC3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775C59"/>
    <w:rPr>
      <w:sz w:val="16"/>
      <w:szCs w:val="16"/>
    </w:rPr>
  </w:style>
  <w:style w:type="paragraph" w:styleId="Tekstkomentarza">
    <w:name w:val="annotation text"/>
    <w:basedOn w:val="Normalny"/>
    <w:link w:val="TekstkomentarzaZnak"/>
    <w:uiPriority w:val="99"/>
    <w:semiHidden/>
    <w:unhideWhenUsed/>
    <w:rsid w:val="00775C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75C59"/>
    <w:rPr>
      <w:sz w:val="20"/>
      <w:szCs w:val="20"/>
    </w:rPr>
  </w:style>
  <w:style w:type="paragraph" w:styleId="Tematkomentarza">
    <w:name w:val="annotation subject"/>
    <w:basedOn w:val="Tekstkomentarza"/>
    <w:next w:val="Tekstkomentarza"/>
    <w:link w:val="TematkomentarzaZnak"/>
    <w:uiPriority w:val="99"/>
    <w:semiHidden/>
    <w:unhideWhenUsed/>
    <w:rsid w:val="00775C59"/>
    <w:rPr>
      <w:b/>
      <w:bCs/>
    </w:rPr>
  </w:style>
  <w:style w:type="character" w:customStyle="1" w:styleId="TematkomentarzaZnak">
    <w:name w:val="Temat komentarza Znak"/>
    <w:basedOn w:val="TekstkomentarzaZnak"/>
    <w:link w:val="Tematkomentarza"/>
    <w:uiPriority w:val="99"/>
    <w:semiHidden/>
    <w:rsid w:val="00775C59"/>
    <w:rPr>
      <w:b/>
      <w:bCs/>
      <w:sz w:val="20"/>
      <w:szCs w:val="20"/>
    </w:rPr>
  </w:style>
  <w:style w:type="character" w:customStyle="1" w:styleId="AkapitzlistZnak">
    <w:name w:val="Akapit z listą Znak"/>
    <w:aliases w:val="maz_wyliczenie Znak,opis dzialania Znak,K-P_odwolanie Znak,A_wyliczenie Znak,Akapit z listą 1 Znak,List Paragraph1 Znak,T_SZ_List Paragraph Znak,Lista PR Znak,Numerowanie Znak,Kolorowa lista — akcent 11 Znak,CW_Lista Znak,L1 Znak"/>
    <w:link w:val="Akapitzlist"/>
    <w:uiPriority w:val="34"/>
    <w:qFormat/>
    <w:locked/>
    <w:rsid w:val="00FE4A03"/>
    <w:rPr>
      <w:rFonts w:eastAsiaTheme="minorEastAsia"/>
      <w:sz w:val="24"/>
      <w:szCs w:val="24"/>
      <w:lang w:val="cs-CZ"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6478F-713F-4302-8C41-7302ABB1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513</Words>
  <Characters>2928</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dc:creator>
  <cp:keywords>, docId:880A6793A3136D3177A95EADA5972A2F</cp:keywords>
  <dc:description/>
  <cp:lastModifiedBy>Adam Raczyński</cp:lastModifiedBy>
  <cp:revision>7</cp:revision>
  <cp:lastPrinted>2025-04-16T10:28:00Z</cp:lastPrinted>
  <dcterms:created xsi:type="dcterms:W3CDTF">2025-04-15T11:09:00Z</dcterms:created>
  <dcterms:modified xsi:type="dcterms:W3CDTF">2025-04-17T06:28:00Z</dcterms:modified>
</cp:coreProperties>
</file>