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0771" w14:textId="4728E7DB" w:rsidR="007E4554" w:rsidRPr="0098272F" w:rsidRDefault="007E4554" w:rsidP="007E4554">
      <w:pPr>
        <w:jc w:val="right"/>
        <w:rPr>
          <w:rFonts w:ascii="Calibri" w:eastAsia="Times New Roman" w:hAnsi="Calibri" w:cs="Times New Roman"/>
          <w:sz w:val="18"/>
        </w:rPr>
      </w:pPr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</w:t>
      </w:r>
      <w:r w:rsidR="00917DD5">
        <w:rPr>
          <w:rFonts w:ascii="Arial" w:eastAsia="Times New Roman" w:hAnsi="Arial" w:cs="Arial"/>
          <w:sz w:val="24"/>
          <w:szCs w:val="24"/>
        </w:rPr>
        <w:t>8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04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8C752EB" w14:textId="77777777" w:rsidR="007E4554" w:rsidRPr="0098272F" w:rsidRDefault="007E4554" w:rsidP="007E4554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278A9B5" w14:textId="77777777" w:rsidR="007E4554" w:rsidRDefault="007E4554" w:rsidP="007E455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C4C52F" w14:textId="39A60E20" w:rsidR="007E4554" w:rsidRDefault="007E4554" w:rsidP="007E455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64CD5E4F" w14:textId="61C9C760" w:rsidR="007E4554" w:rsidRPr="00E168E5" w:rsidRDefault="007E4554" w:rsidP="007E4554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6CF1E26C" w14:textId="77777777" w:rsidR="007E4554" w:rsidRPr="007E4554" w:rsidRDefault="007E4554" w:rsidP="007E455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: postępowania prowadzonego w trybie podstawowym z fakultatywnymi negocjacjami 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7E455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</w:t>
      </w:r>
      <w:r w:rsidRPr="007E455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„Zagospodarowanie działek 1/1 i 120/6 w miejscowości Kamieniec poprzez stworzenie infrastruktury sportowo-rekreacyjnej oraz miejsca odpoczynku i spotkań”</w:t>
      </w:r>
    </w:p>
    <w:p w14:paraId="0625980C" w14:textId="1688356F" w:rsidR="007E4554" w:rsidRDefault="007E4554" w:rsidP="007E455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0E1F9" w14:textId="77777777" w:rsidR="007E4554" w:rsidRDefault="007E4554" w:rsidP="007E455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B46A94C" w14:textId="68543C09" w:rsidR="007E4554" w:rsidRPr="008F7AC5" w:rsidRDefault="007E4554" w:rsidP="007E45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 xml:space="preserve">24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 negocjacjami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</w:t>
      </w:r>
      <w:r w:rsidR="0002788A">
        <w:rPr>
          <w:rFonts w:ascii="Arial" w:eastAsia="Times New Roman" w:hAnsi="Arial" w:cs="Arial"/>
          <w:sz w:val="24"/>
          <w:szCs w:val="24"/>
        </w:rPr>
        <w:t xml:space="preserve"> Wykonawcę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3BBB3B72" w14:textId="079B0820" w:rsidR="007E4554" w:rsidRPr="00BD06E4" w:rsidRDefault="0002788A" w:rsidP="007E45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Royal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Play Łukasz Piotrowski z Kańkowa w Małkini Górnej. </w:t>
      </w:r>
    </w:p>
    <w:p w14:paraId="18E448D4" w14:textId="77777777" w:rsidR="007E4554" w:rsidRPr="00BD06E4" w:rsidRDefault="007E4554" w:rsidP="007E45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CA9A47" w14:textId="6B4A7ECF" w:rsidR="007E4554" w:rsidRPr="00BD06E4" w:rsidRDefault="007E4554" w:rsidP="007E455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D06E4">
        <w:rPr>
          <w:rFonts w:ascii="Arial" w:eastAsia="Times New Roman" w:hAnsi="Arial" w:cs="Arial"/>
          <w:sz w:val="24"/>
          <w:szCs w:val="24"/>
        </w:rPr>
        <w:t xml:space="preserve">Wybrana oferta uzyskała liczbę </w:t>
      </w:r>
      <w:r w:rsidR="0002788A">
        <w:rPr>
          <w:rFonts w:ascii="Arial" w:eastAsia="Times New Roman" w:hAnsi="Arial" w:cs="Arial"/>
          <w:sz w:val="24"/>
          <w:szCs w:val="24"/>
        </w:rPr>
        <w:t>100</w:t>
      </w:r>
      <w:r w:rsidRPr="00BD06E4">
        <w:rPr>
          <w:rFonts w:ascii="Arial" w:eastAsia="Times New Roman" w:hAnsi="Arial" w:cs="Arial"/>
          <w:sz w:val="24"/>
          <w:szCs w:val="24"/>
        </w:rPr>
        <w:t xml:space="preserve"> punktów.</w:t>
      </w:r>
      <w:r w:rsidRPr="00BD06E4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5F8D3E2D" w14:textId="6635A652" w:rsidR="007E4554" w:rsidRDefault="007E4554" w:rsidP="007E4554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D06E4"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 w:rsidR="0002788A">
        <w:rPr>
          <w:rFonts w:ascii="Arial" w:eastAsia="Times New Roman" w:hAnsi="Arial" w:cs="Arial"/>
          <w:bCs/>
          <w:sz w:val="24"/>
          <w:szCs w:val="24"/>
        </w:rPr>
        <w:t>pięć</w:t>
      </w:r>
      <w:r w:rsidRPr="00BD06E4">
        <w:rPr>
          <w:rFonts w:ascii="Arial" w:eastAsia="Times New Roman" w:hAnsi="Arial" w:cs="Arial"/>
          <w:bCs/>
          <w:sz w:val="24"/>
          <w:szCs w:val="24"/>
        </w:rPr>
        <w:t xml:space="preserve"> ofert. </w:t>
      </w:r>
      <w:r w:rsidR="00E8695E">
        <w:rPr>
          <w:rFonts w:ascii="Arial" w:eastAsia="Times New Roman" w:hAnsi="Arial" w:cs="Arial"/>
          <w:bCs/>
          <w:sz w:val="24"/>
          <w:szCs w:val="24"/>
        </w:rPr>
        <w:t xml:space="preserve">Jedna oferta została odrzucona. </w:t>
      </w:r>
      <w:r w:rsidRPr="00BD06E4">
        <w:rPr>
          <w:rFonts w:ascii="Arial" w:eastAsia="Times New Roman" w:hAnsi="Arial" w:cs="Arial"/>
          <w:bCs/>
          <w:sz w:val="24"/>
          <w:szCs w:val="24"/>
        </w:rPr>
        <w:t>Szczegółowo oferty</w:t>
      </w:r>
      <w:r w:rsidR="008B0F4A">
        <w:rPr>
          <w:rFonts w:ascii="Arial" w:eastAsia="Times New Roman" w:hAnsi="Arial" w:cs="Arial"/>
          <w:bCs/>
          <w:sz w:val="24"/>
          <w:szCs w:val="24"/>
        </w:rPr>
        <w:t xml:space="preserve"> niepodlegające odrzuceniu</w:t>
      </w:r>
      <w:r w:rsidRPr="00BD06E4">
        <w:rPr>
          <w:rFonts w:ascii="Arial" w:eastAsia="Times New Roman" w:hAnsi="Arial" w:cs="Arial"/>
          <w:bCs/>
          <w:sz w:val="24"/>
          <w:szCs w:val="24"/>
        </w:rPr>
        <w:t xml:space="preserve"> przedstawiają się następująco:</w:t>
      </w:r>
    </w:p>
    <w:p w14:paraId="66D89E1E" w14:textId="77777777" w:rsidR="00052724" w:rsidRDefault="00052724" w:rsidP="007E4554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7928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42"/>
        <w:gridCol w:w="1843"/>
        <w:gridCol w:w="1842"/>
        <w:gridCol w:w="1701"/>
      </w:tblGrid>
      <w:tr w:rsidR="008B0F4A" w:rsidRPr="00052724" w14:paraId="240D750E" w14:textId="77777777" w:rsidTr="005E020B">
        <w:trPr>
          <w:cantSplit/>
          <w:tblHeader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6D5D4" w14:textId="77777777" w:rsidR="008B0F4A" w:rsidRPr="00052724" w:rsidRDefault="008B0F4A" w:rsidP="005E020B">
            <w:pPr>
              <w:pStyle w:val="Lista1cd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52724">
              <w:rPr>
                <w:rFonts w:ascii="Arial" w:hAnsi="Arial" w:cs="Arial"/>
                <w:b/>
                <w:sz w:val="20"/>
              </w:rPr>
              <w:t>oferta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61848" w14:textId="77777777" w:rsidR="008B0F4A" w:rsidRPr="00052724" w:rsidRDefault="008B0F4A" w:rsidP="005E020B">
            <w:pPr>
              <w:pStyle w:val="Lista1cd"/>
              <w:spacing w:line="276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052724">
              <w:rPr>
                <w:rFonts w:ascii="Arial" w:hAnsi="Arial" w:cs="Arial"/>
                <w:b/>
                <w:sz w:val="20"/>
              </w:rPr>
              <w:t xml:space="preserve">Cena oferty brutto [PLN]; punktacja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5C11" w14:textId="77777777" w:rsidR="008B0F4A" w:rsidRPr="00052724" w:rsidRDefault="008B0F4A" w:rsidP="005E020B">
            <w:pPr>
              <w:pStyle w:val="Lista1cd"/>
              <w:spacing w:line="276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052724">
              <w:rPr>
                <w:rFonts w:ascii="Arial" w:hAnsi="Arial" w:cs="Arial"/>
                <w:b/>
                <w:sz w:val="20"/>
              </w:rPr>
              <w:t>Okres gwarancji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EF72F" w14:textId="77777777" w:rsidR="008B0F4A" w:rsidRPr="00052724" w:rsidRDefault="008B0F4A" w:rsidP="005E020B">
            <w:pPr>
              <w:pStyle w:val="Lista1cd"/>
              <w:spacing w:line="276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052724">
              <w:rPr>
                <w:rFonts w:ascii="Arial" w:hAnsi="Arial" w:cs="Arial"/>
                <w:b/>
                <w:sz w:val="20"/>
              </w:rPr>
              <w:t>Punktacja łącznie</w:t>
            </w:r>
          </w:p>
        </w:tc>
      </w:tr>
      <w:tr w:rsidR="008B0F4A" w:rsidRPr="00052724" w14:paraId="1852523C" w14:textId="77777777" w:rsidTr="005E020B">
        <w:trPr>
          <w:cantSplit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47C5F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KS Usługi Ogólnobudowlane Szymon Koza,</w:t>
            </w:r>
          </w:p>
          <w:p w14:paraId="2FD84424" w14:textId="3A0DF232" w:rsidR="008B0F4A" w:rsidRPr="00052724" w:rsidRDefault="008B0F4A" w:rsidP="0005272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Gryfino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AF731" w14:textId="348ECA7A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1.</w:t>
            </w:r>
            <w:r w:rsidRPr="00052724">
              <w:rPr>
                <w:rFonts w:ascii="Arial" w:hAnsi="Arial" w:cs="Arial"/>
                <w:sz w:val="20"/>
              </w:rPr>
              <w:t>480.433,50</w:t>
            </w:r>
            <w:r w:rsidR="00540D3C">
              <w:rPr>
                <w:rFonts w:ascii="Arial" w:hAnsi="Arial" w:cs="Arial"/>
                <w:sz w:val="20"/>
              </w:rPr>
              <w:t xml:space="preserve"> (oferta dodatkowa)</w:t>
            </w:r>
          </w:p>
          <w:p w14:paraId="1DA9CBAC" w14:textId="0DF42628" w:rsidR="008B0F4A" w:rsidRPr="00052724" w:rsidRDefault="00E8695E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50,92</w:t>
            </w:r>
            <w:r w:rsidR="008B0F4A" w:rsidRPr="00052724">
              <w:rPr>
                <w:rFonts w:ascii="Arial" w:hAnsi="Arial" w:cs="Arial"/>
                <w:sz w:val="20"/>
              </w:rPr>
              <w:t xml:space="preserve">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5A28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m-</w:t>
            </w:r>
            <w:proofErr w:type="spellStart"/>
            <w:r w:rsidRPr="00052724">
              <w:rPr>
                <w:rFonts w:ascii="Arial" w:hAnsi="Arial" w:cs="Arial"/>
                <w:sz w:val="20"/>
              </w:rPr>
              <w:t>cy</w:t>
            </w:r>
            <w:proofErr w:type="spellEnd"/>
          </w:p>
          <w:p w14:paraId="4D4A6DBF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40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12196" w14:textId="08A3176F" w:rsidR="008B0F4A" w:rsidRPr="00052724" w:rsidRDefault="00E8695E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90,92</w:t>
            </w:r>
          </w:p>
        </w:tc>
      </w:tr>
      <w:tr w:rsidR="008B0F4A" w:rsidRPr="00052724" w14:paraId="64576874" w14:textId="77777777" w:rsidTr="005E020B">
        <w:trPr>
          <w:cantSplit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0DD62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ROYAL PLAY,</w:t>
            </w:r>
          </w:p>
          <w:p w14:paraId="1DE9EF71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Małkinia Górna</w:t>
            </w:r>
          </w:p>
          <w:p w14:paraId="373A204D" w14:textId="77777777" w:rsidR="008B0F4A" w:rsidRPr="00052724" w:rsidRDefault="008B0F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5FCB1" w14:textId="2234BB8B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1.256.352,00</w:t>
            </w:r>
            <w:r w:rsidR="00540D3C">
              <w:rPr>
                <w:rFonts w:ascii="Arial" w:hAnsi="Arial" w:cs="Arial"/>
                <w:sz w:val="20"/>
              </w:rPr>
              <w:t xml:space="preserve"> (oferta pierwotna)</w:t>
            </w:r>
          </w:p>
          <w:p w14:paraId="36EC0085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CCF93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m-</w:t>
            </w:r>
            <w:proofErr w:type="spellStart"/>
            <w:r w:rsidRPr="00052724">
              <w:rPr>
                <w:rFonts w:ascii="Arial" w:hAnsi="Arial" w:cs="Arial"/>
                <w:sz w:val="20"/>
              </w:rPr>
              <w:t>cy</w:t>
            </w:r>
            <w:proofErr w:type="spellEnd"/>
          </w:p>
          <w:p w14:paraId="30140B67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40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62F76" w14:textId="77777777" w:rsidR="008B0F4A" w:rsidRPr="00052724" w:rsidRDefault="008B0F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80374A" w:rsidRPr="00052724" w14:paraId="134F1BD2" w14:textId="77777777" w:rsidTr="005E020B">
        <w:trPr>
          <w:cantSplit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34F61" w14:textId="568E3FF4" w:rsidR="0080374A" w:rsidRPr="00052724" w:rsidRDefault="008037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RSK Wolin Sławomir </w:t>
            </w:r>
            <w:proofErr w:type="spellStart"/>
            <w:r>
              <w:rPr>
                <w:sz w:val="20"/>
                <w:szCs w:val="20"/>
              </w:rPr>
              <w:t>Zinow</w:t>
            </w:r>
            <w:proofErr w:type="spellEnd"/>
            <w:r>
              <w:rPr>
                <w:sz w:val="20"/>
                <w:szCs w:val="20"/>
              </w:rPr>
              <w:t>, Wolin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357C2" w14:textId="77777777" w:rsidR="0080374A" w:rsidRDefault="008037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1.780.366,55 (oferta pierwotna)</w:t>
            </w:r>
          </w:p>
          <w:p w14:paraId="1B38E766" w14:textId="25CFFA07" w:rsidR="0080374A" w:rsidRPr="00052724" w:rsidRDefault="008037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42,34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2196" w14:textId="77777777" w:rsidR="0080374A" w:rsidRPr="00052724" w:rsidRDefault="0080374A" w:rsidP="008037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m-</w:t>
            </w:r>
            <w:proofErr w:type="spellStart"/>
            <w:r w:rsidRPr="00052724">
              <w:rPr>
                <w:rFonts w:ascii="Arial" w:hAnsi="Arial" w:cs="Arial"/>
                <w:sz w:val="20"/>
              </w:rPr>
              <w:t>cy</w:t>
            </w:r>
            <w:proofErr w:type="spellEnd"/>
          </w:p>
          <w:p w14:paraId="7111FF81" w14:textId="30154891" w:rsidR="0080374A" w:rsidRPr="00052724" w:rsidRDefault="0080374A" w:rsidP="008037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40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3F4B1" w14:textId="6B29B65F" w:rsidR="0080374A" w:rsidRPr="00052724" w:rsidRDefault="008037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82,34</w:t>
            </w:r>
          </w:p>
        </w:tc>
      </w:tr>
      <w:tr w:rsidR="008B0F4A" w:rsidRPr="00052724" w14:paraId="128DA394" w14:textId="77777777" w:rsidTr="005E020B">
        <w:trPr>
          <w:cantSplit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6494A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052724">
              <w:rPr>
                <w:sz w:val="20"/>
                <w:szCs w:val="20"/>
              </w:rPr>
              <w:t>Topatotera</w:t>
            </w:r>
            <w:proofErr w:type="spellEnd"/>
            <w:r w:rsidRPr="00052724">
              <w:rPr>
                <w:sz w:val="20"/>
                <w:szCs w:val="20"/>
              </w:rPr>
              <w:t xml:space="preserve"> sp. z o.o.,</w:t>
            </w:r>
          </w:p>
          <w:p w14:paraId="3CE64EAF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Knurów</w:t>
            </w:r>
          </w:p>
          <w:p w14:paraId="3837E0F8" w14:textId="77777777" w:rsidR="008B0F4A" w:rsidRPr="00052724" w:rsidRDefault="008B0F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E5612" w14:textId="0B68CFF4" w:rsidR="008B0F4A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1.4</w:t>
            </w:r>
            <w:r w:rsidRPr="00052724">
              <w:rPr>
                <w:rFonts w:ascii="Arial" w:hAnsi="Arial" w:cs="Arial"/>
                <w:sz w:val="20"/>
              </w:rPr>
              <w:t>50</w:t>
            </w:r>
            <w:r w:rsidRPr="00052724">
              <w:rPr>
                <w:rFonts w:ascii="Arial" w:hAnsi="Arial" w:cs="Arial"/>
                <w:sz w:val="20"/>
              </w:rPr>
              <w:t>.</w:t>
            </w:r>
            <w:r w:rsidRPr="00052724">
              <w:rPr>
                <w:rFonts w:ascii="Arial" w:hAnsi="Arial" w:cs="Arial"/>
                <w:sz w:val="20"/>
              </w:rPr>
              <w:t>000</w:t>
            </w:r>
            <w:r w:rsidRPr="00052724">
              <w:rPr>
                <w:rFonts w:ascii="Arial" w:hAnsi="Arial" w:cs="Arial"/>
                <w:sz w:val="20"/>
              </w:rPr>
              <w:t>,00</w:t>
            </w:r>
          </w:p>
          <w:p w14:paraId="3FEE33F9" w14:textId="789AFD52" w:rsidR="00540D3C" w:rsidRPr="00052724" w:rsidRDefault="00540D3C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(oferta dodatkowa)</w:t>
            </w:r>
          </w:p>
          <w:p w14:paraId="6AF8D16B" w14:textId="4E95DE7F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5</w:t>
            </w:r>
            <w:r w:rsidR="00E8695E" w:rsidRPr="00052724">
              <w:rPr>
                <w:rFonts w:ascii="Arial" w:hAnsi="Arial" w:cs="Arial"/>
                <w:sz w:val="20"/>
              </w:rPr>
              <w:t>1,99</w:t>
            </w:r>
            <w:r w:rsidRPr="00052724">
              <w:rPr>
                <w:rFonts w:ascii="Arial" w:hAnsi="Arial" w:cs="Arial"/>
                <w:sz w:val="20"/>
              </w:rPr>
              <w:t xml:space="preserve">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F0C0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m-</w:t>
            </w:r>
            <w:proofErr w:type="spellStart"/>
            <w:r w:rsidRPr="00052724">
              <w:rPr>
                <w:rFonts w:ascii="Arial" w:hAnsi="Arial" w:cs="Arial"/>
                <w:sz w:val="20"/>
              </w:rPr>
              <w:t>cy</w:t>
            </w:r>
            <w:proofErr w:type="spellEnd"/>
          </w:p>
          <w:p w14:paraId="61CEF1C1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40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D6A8E" w14:textId="34725B84" w:rsidR="008B0F4A" w:rsidRPr="00052724" w:rsidRDefault="008B0F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9</w:t>
            </w:r>
            <w:r w:rsidR="00E8695E" w:rsidRPr="00052724">
              <w:rPr>
                <w:rFonts w:ascii="Arial" w:hAnsi="Arial" w:cs="Arial"/>
                <w:sz w:val="20"/>
              </w:rPr>
              <w:t>1</w:t>
            </w:r>
            <w:r w:rsidRPr="00052724">
              <w:rPr>
                <w:rFonts w:ascii="Arial" w:hAnsi="Arial" w:cs="Arial"/>
                <w:sz w:val="20"/>
              </w:rPr>
              <w:t>,</w:t>
            </w:r>
            <w:r w:rsidR="00E8695E" w:rsidRPr="00052724">
              <w:rPr>
                <w:rFonts w:ascii="Arial" w:hAnsi="Arial" w:cs="Arial"/>
                <w:sz w:val="20"/>
              </w:rPr>
              <w:t>99</w:t>
            </w:r>
          </w:p>
        </w:tc>
      </w:tr>
      <w:tr w:rsidR="008B0F4A" w:rsidRPr="00052724" w14:paraId="7A7671D9" w14:textId="77777777" w:rsidTr="005E020B">
        <w:trPr>
          <w:cantSplit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56F41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lastRenderedPageBreak/>
              <w:t>USŁUGI BUDOWLANE Wiesław Furtak,</w:t>
            </w:r>
          </w:p>
          <w:p w14:paraId="506A0F17" w14:textId="77777777" w:rsidR="008B0F4A" w:rsidRPr="00052724" w:rsidRDefault="008B0F4A" w:rsidP="008B0F4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052724">
              <w:rPr>
                <w:sz w:val="20"/>
                <w:szCs w:val="20"/>
              </w:rPr>
              <w:t>Szczecin</w:t>
            </w:r>
          </w:p>
          <w:p w14:paraId="64912A3C" w14:textId="77777777" w:rsidR="008B0F4A" w:rsidRPr="00052724" w:rsidRDefault="008B0F4A" w:rsidP="008B0F4A">
            <w:pPr>
              <w:pStyle w:val="Lista1cd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E3523" w14:textId="6C95F8B4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1.</w:t>
            </w:r>
            <w:r w:rsidRPr="00052724">
              <w:rPr>
                <w:rFonts w:ascii="Arial" w:hAnsi="Arial" w:cs="Arial"/>
                <w:sz w:val="20"/>
              </w:rPr>
              <w:t>480.000,00</w:t>
            </w:r>
            <w:r w:rsidR="00540D3C">
              <w:rPr>
                <w:rFonts w:ascii="Arial" w:hAnsi="Arial" w:cs="Arial"/>
                <w:sz w:val="20"/>
              </w:rPr>
              <w:t xml:space="preserve"> (oferta dodatkowa)</w:t>
            </w:r>
          </w:p>
          <w:p w14:paraId="2C19446D" w14:textId="4BBD571B" w:rsidR="008B0F4A" w:rsidRPr="00052724" w:rsidRDefault="00E8695E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50,93</w:t>
            </w:r>
            <w:r w:rsidR="008B0F4A" w:rsidRPr="00052724">
              <w:rPr>
                <w:rFonts w:ascii="Arial" w:hAnsi="Arial" w:cs="Arial"/>
                <w:sz w:val="20"/>
              </w:rPr>
              <w:t xml:space="preserve"> pkt</w:t>
            </w:r>
          </w:p>
          <w:p w14:paraId="6062D2BA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0E33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60 m-</w:t>
            </w:r>
            <w:proofErr w:type="spellStart"/>
            <w:r w:rsidRPr="00052724">
              <w:rPr>
                <w:rFonts w:ascii="Arial" w:hAnsi="Arial" w:cs="Arial"/>
                <w:sz w:val="20"/>
              </w:rPr>
              <w:t>cy</w:t>
            </w:r>
            <w:proofErr w:type="spellEnd"/>
            <w:r w:rsidRPr="00052724">
              <w:rPr>
                <w:rFonts w:ascii="Arial" w:hAnsi="Arial" w:cs="Arial"/>
                <w:sz w:val="20"/>
              </w:rPr>
              <w:t xml:space="preserve"> </w:t>
            </w:r>
          </w:p>
          <w:p w14:paraId="569C9231" w14:textId="77777777" w:rsidR="008B0F4A" w:rsidRPr="00052724" w:rsidRDefault="008B0F4A" w:rsidP="008B0F4A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>40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14F92" w14:textId="1D169D3E" w:rsidR="008B0F4A" w:rsidRPr="00052724" w:rsidRDefault="00E8695E" w:rsidP="00E8695E">
            <w:pPr>
              <w:pStyle w:val="Lista1cd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052724">
              <w:rPr>
                <w:rFonts w:ascii="Arial" w:hAnsi="Arial" w:cs="Arial"/>
                <w:sz w:val="20"/>
              </w:rPr>
              <w:t xml:space="preserve">            90,93</w:t>
            </w:r>
          </w:p>
        </w:tc>
      </w:tr>
    </w:tbl>
    <w:p w14:paraId="6A73D7BA" w14:textId="77777777" w:rsidR="0096521C" w:rsidRDefault="0096521C"/>
    <w:p w14:paraId="6E6E40D7" w14:textId="77777777" w:rsidR="00540D3C" w:rsidRPr="00D354CC" w:rsidRDefault="00540D3C" w:rsidP="00540D3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0AE0B4C3" w14:textId="77777777" w:rsidR="00917DD5" w:rsidRDefault="00540D3C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dniu 07.04.2025 r. </w:t>
      </w:r>
      <w:r w:rsidR="00901DA2">
        <w:rPr>
          <w:rFonts w:ascii="Arial" w:eastAsia="Times New Roman" w:hAnsi="Arial" w:cs="Arial"/>
          <w:sz w:val="24"/>
          <w:szCs w:val="24"/>
        </w:rPr>
        <w:t xml:space="preserve">zaproszono Wykonawców do negocjacji w celu złożenia oferty dodatkowej. Negocjacje odbyły się w dniu 10.04.2025 r. </w:t>
      </w:r>
      <w:r w:rsidR="00917DD5">
        <w:rPr>
          <w:rFonts w:ascii="Arial" w:eastAsia="Times New Roman" w:hAnsi="Arial" w:cs="Arial"/>
          <w:sz w:val="24"/>
          <w:szCs w:val="24"/>
        </w:rPr>
        <w:t>Trzech wykonawców zweryfikowało ceny ofertowe i złożyli oferty dodatkowe. Dwóch wykonawców utrzymało oferty pierwotne i nie złożyli ofert dodatkowych.</w:t>
      </w:r>
    </w:p>
    <w:p w14:paraId="383C4038" w14:textId="77777777" w:rsidR="00342F23" w:rsidRDefault="00917DD5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 uwagi na kończący się okres związania ofertą, w dn. 17.04.2025 r. wysłano do wykonawców wezwanie do wyrażenia zgody na przedłużenie terminu związania ofertą</w:t>
      </w:r>
      <w:r w:rsidR="00342F23">
        <w:rPr>
          <w:rFonts w:ascii="Arial" w:eastAsia="Times New Roman" w:hAnsi="Arial" w:cs="Arial"/>
          <w:sz w:val="24"/>
          <w:szCs w:val="24"/>
        </w:rPr>
        <w:t xml:space="preserve">. Wykonawca RSK Wolin Sławomir </w:t>
      </w:r>
      <w:proofErr w:type="spellStart"/>
      <w:r w:rsidR="00342F23">
        <w:rPr>
          <w:rFonts w:ascii="Arial" w:eastAsia="Times New Roman" w:hAnsi="Arial" w:cs="Arial"/>
          <w:sz w:val="24"/>
          <w:szCs w:val="24"/>
        </w:rPr>
        <w:t>Zinow</w:t>
      </w:r>
      <w:proofErr w:type="spellEnd"/>
      <w:r w:rsidR="00342F23">
        <w:rPr>
          <w:rFonts w:ascii="Arial" w:eastAsia="Times New Roman" w:hAnsi="Arial" w:cs="Arial"/>
          <w:sz w:val="24"/>
          <w:szCs w:val="24"/>
        </w:rPr>
        <w:t xml:space="preserve"> nie wyraził zgody na przedłużenie terminu związania ofertą, stąd oferta wykonawcy została odrzucona na podstawie art. 226 ust. 1 pkt 12 ustawy PZP.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BA594A" w14:textId="20DC2320" w:rsidR="00540D3C" w:rsidRDefault="00540D3C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4557AB1D" w14:textId="77777777" w:rsidR="00917DD5" w:rsidRDefault="00917DD5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F89CE26" w14:textId="1B512A32" w:rsidR="00917DD5" w:rsidRDefault="00917DD5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Dziękuję wszystkim wykonawcom za udział w postępowaniu.</w:t>
      </w:r>
    </w:p>
    <w:p w14:paraId="26ED1BB3" w14:textId="77777777" w:rsidR="00917DD5" w:rsidRDefault="00917DD5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9D7B7C3" w14:textId="77777777" w:rsidR="00917DD5" w:rsidRDefault="00917DD5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0035FE" w14:textId="77777777" w:rsidR="00540D3C" w:rsidRDefault="00540D3C" w:rsidP="00540D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123F709" w14:textId="77777777" w:rsidR="00540D3C" w:rsidRDefault="00540D3C" w:rsidP="00540D3C"/>
    <w:p w14:paraId="6BC90316" w14:textId="77777777" w:rsidR="00540D3C" w:rsidRDefault="00540D3C" w:rsidP="00540D3C">
      <w:pPr>
        <w:jc w:val="right"/>
      </w:pPr>
      <w:r>
        <w:t>……………………………………………………………………..</w:t>
      </w:r>
    </w:p>
    <w:p w14:paraId="4E2E42B5" w14:textId="77777777" w:rsidR="00540D3C" w:rsidRDefault="00540D3C"/>
    <w:sectPr w:rsidR="0054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54"/>
    <w:rsid w:val="0002788A"/>
    <w:rsid w:val="00052724"/>
    <w:rsid w:val="00264DDE"/>
    <w:rsid w:val="00342F23"/>
    <w:rsid w:val="00442D1C"/>
    <w:rsid w:val="00540D3C"/>
    <w:rsid w:val="00703F62"/>
    <w:rsid w:val="007E4554"/>
    <w:rsid w:val="0080374A"/>
    <w:rsid w:val="008B0F4A"/>
    <w:rsid w:val="00901DA2"/>
    <w:rsid w:val="00917DD5"/>
    <w:rsid w:val="0096521C"/>
    <w:rsid w:val="009A026C"/>
    <w:rsid w:val="00E81C80"/>
    <w:rsid w:val="00E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6E0A"/>
  <w15:chartTrackingRefBased/>
  <w15:docId w15:val="{25B1694D-FF31-4828-B845-83C516F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55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5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5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4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55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4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55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45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5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554"/>
    <w:rPr>
      <w:b/>
      <w:bCs/>
      <w:smallCaps/>
      <w:color w:val="2F5496" w:themeColor="accent1" w:themeShade="BF"/>
      <w:spacing w:val="5"/>
    </w:rPr>
  </w:style>
  <w:style w:type="paragraph" w:customStyle="1" w:styleId="Lista1cd">
    <w:name w:val="Lista1_cd"/>
    <w:basedOn w:val="Normalny"/>
    <w:uiPriority w:val="99"/>
    <w:rsid w:val="008B0F4A"/>
    <w:pPr>
      <w:widowControl w:val="0"/>
      <w:suppressAutoHyphens/>
      <w:spacing w:after="0" w:line="240" w:lineRule="auto"/>
      <w:ind w:left="709"/>
      <w:jc w:val="both"/>
    </w:pPr>
    <w:rPr>
      <w:rFonts w:ascii="Tahoma" w:eastAsia="Tahoma" w:hAnsi="Tahoma" w:cs="Tahoma"/>
      <w:sz w:val="24"/>
      <w:szCs w:val="20"/>
      <w:lang w:eastAsia="pl-PL"/>
    </w:rPr>
  </w:style>
  <w:style w:type="paragraph" w:customStyle="1" w:styleId="LO-normal">
    <w:name w:val="LO-normal"/>
    <w:qFormat/>
    <w:rsid w:val="008B0F4A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1DE6-2F18-4326-B230-3E3353F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2025-04-25T09:44:00Z</dcterms:created>
  <dcterms:modified xsi:type="dcterms:W3CDTF">2025-04-25T12:01:00Z</dcterms:modified>
</cp:coreProperties>
</file>