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2053" w14:textId="7C613609" w:rsidR="00133877" w:rsidRDefault="00133877" w:rsidP="00133877">
      <w:pPr>
        <w:spacing w:line="360" w:lineRule="auto"/>
        <w:rPr>
          <w:rFonts w:cstheme="minorHAnsi"/>
        </w:rPr>
      </w:pPr>
      <w:r w:rsidRPr="00133877">
        <w:rPr>
          <w:rFonts w:cstheme="minorHAnsi"/>
        </w:rPr>
        <w:t xml:space="preserve">Białystok, </w:t>
      </w:r>
      <w:r w:rsidR="009F167C">
        <w:rPr>
          <w:rFonts w:cstheme="minorHAnsi"/>
          <w:color w:val="000000"/>
        </w:rPr>
        <w:t>15.04</w:t>
      </w:r>
      <w:r w:rsidR="00CD158B">
        <w:rPr>
          <w:rFonts w:cstheme="minorHAnsi"/>
          <w:color w:val="000000"/>
        </w:rPr>
        <w:t>.2025</w:t>
      </w:r>
      <w:r w:rsidRPr="00133877">
        <w:rPr>
          <w:rFonts w:cstheme="minorHAnsi"/>
          <w:color w:val="000000"/>
        </w:rPr>
        <w:t xml:space="preserve"> r.</w:t>
      </w:r>
    </w:p>
    <w:p w14:paraId="748FC4ED" w14:textId="122A344D" w:rsidR="00DA4115" w:rsidRPr="00133877" w:rsidRDefault="00DA4115" w:rsidP="00133877">
      <w:pPr>
        <w:spacing w:line="360" w:lineRule="auto"/>
        <w:rPr>
          <w:rFonts w:cstheme="minorHAnsi"/>
        </w:rPr>
      </w:pPr>
      <w:r w:rsidRPr="00133877">
        <w:rPr>
          <w:rFonts w:cstheme="minorHAnsi"/>
        </w:rPr>
        <w:t>Nr sprawy:</w:t>
      </w:r>
      <w:r w:rsidRPr="00133877">
        <w:rPr>
          <w:rFonts w:cstheme="minorHAnsi"/>
          <w:b/>
          <w:bCs/>
        </w:rPr>
        <w:t xml:space="preserve"> </w:t>
      </w:r>
      <w:r w:rsidR="00CD158B">
        <w:rPr>
          <w:rFonts w:cstheme="minorHAnsi"/>
          <w:b/>
          <w:color w:val="000000"/>
        </w:rPr>
        <w:t>AZP.25.1.8.2025</w:t>
      </w:r>
      <w:r w:rsidRPr="00133877">
        <w:rPr>
          <w:rFonts w:cstheme="minorHAnsi"/>
          <w:b/>
          <w:bCs/>
          <w:color w:val="000000" w:themeColor="text1"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="008141AD" w:rsidRPr="00133877">
        <w:rPr>
          <w:rFonts w:cstheme="minorHAnsi"/>
          <w:b/>
          <w:bCs/>
        </w:rPr>
        <w:tab/>
      </w:r>
    </w:p>
    <w:p w14:paraId="686D1D93" w14:textId="32137058" w:rsidR="00511262" w:rsidRPr="00133877" w:rsidRDefault="005D3D79" w:rsidP="00133877">
      <w:pPr>
        <w:tabs>
          <w:tab w:val="left" w:pos="0"/>
        </w:tabs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ZMIANA TREŚCI</w:t>
      </w:r>
      <w:r w:rsidR="00FE4A03" w:rsidRPr="00133877">
        <w:rPr>
          <w:rFonts w:cstheme="minorHAnsi"/>
          <w:b/>
        </w:rPr>
        <w:t xml:space="preserve"> SWZ</w:t>
      </w:r>
    </w:p>
    <w:p w14:paraId="0990C3EB" w14:textId="6421B893" w:rsidR="00FE4A03" w:rsidRPr="00CD158B" w:rsidRDefault="00FE4A03" w:rsidP="00CD158B">
      <w:pPr>
        <w:numPr>
          <w:ilvl w:val="0"/>
          <w:numId w:val="8"/>
        </w:numPr>
        <w:autoSpaceDN w:val="0"/>
        <w:spacing w:after="0" w:line="360" w:lineRule="auto"/>
        <w:ind w:left="296" w:hanging="296"/>
        <w:rPr>
          <w:rFonts w:cstheme="minorHAnsi"/>
          <w:b/>
          <w:bCs/>
        </w:rPr>
      </w:pPr>
      <w:r w:rsidRPr="00133877">
        <w:rPr>
          <w:rFonts w:eastAsia="Times" w:cstheme="minorHAnsi"/>
          <w:iCs/>
          <w:lang w:val="it-IT" w:eastAsia="it-IT"/>
        </w:rPr>
        <w:t xml:space="preserve">Zamawiający informuje, iż w postępowaniu prowadzonym w trybie przetargu nieograniczonego </w:t>
      </w:r>
      <w:r w:rsidRPr="00133877">
        <w:rPr>
          <w:rFonts w:cstheme="minorHAnsi"/>
        </w:rPr>
        <w:t>na</w:t>
      </w:r>
      <w:r w:rsidR="00CD158B">
        <w:rPr>
          <w:rFonts w:cstheme="minorHAnsi"/>
          <w:b/>
        </w:rPr>
        <w:t xml:space="preserve"> </w:t>
      </w:r>
      <w:r w:rsidR="00CD158B">
        <w:rPr>
          <w:rFonts w:cstheme="minorHAnsi"/>
          <w:b/>
          <w:bCs/>
        </w:rPr>
        <w:t>dostawę</w:t>
      </w:r>
      <w:r w:rsidR="00CD158B" w:rsidRPr="00CD158B">
        <w:rPr>
          <w:rFonts w:cstheme="minorHAnsi"/>
          <w:b/>
          <w:bCs/>
        </w:rPr>
        <w:t xml:space="preserve"> zestawu składającego się z dwóch komór metabolicznych z wyposażeniem i oprzyrządowaniem do Ośrodka Wsparcia Badań Klinicznych Uniwersytetu Medycznego w Białymstoku</w:t>
      </w:r>
      <w:r w:rsidRPr="00CD158B">
        <w:rPr>
          <w:rFonts w:eastAsia="Times" w:cstheme="minorHAnsi"/>
          <w:iCs/>
          <w:lang w:val="it-IT" w:eastAsia="it-IT"/>
        </w:rPr>
        <w:t>, z</w:t>
      </w:r>
      <w:r w:rsidRPr="00CD158B">
        <w:rPr>
          <w:rFonts w:eastAsia="Times" w:cstheme="minorHAnsi"/>
          <w:iCs/>
          <w:kern w:val="22"/>
          <w:lang w:val="it-IT" w:eastAsia="it-IT"/>
        </w:rPr>
        <w:t>godnie z art. 137 ust. 1 ustawy z dnia 11 września 2019 r. Prawo zamówień publicznych</w:t>
      </w:r>
      <w:r w:rsidR="00CD158B">
        <w:rPr>
          <w:rFonts w:eastAsia="Times" w:cstheme="minorHAnsi"/>
          <w:iCs/>
          <w:kern w:val="22"/>
          <w:lang w:val="it-IT" w:eastAsia="it-IT"/>
        </w:rPr>
        <w:t xml:space="preserve"> (t. j. Dz. U. z 2024 r., poz. 1320</w:t>
      </w:r>
      <w:r w:rsidR="00A136DE" w:rsidRPr="00CD158B">
        <w:rPr>
          <w:rFonts w:eastAsia="Times" w:cstheme="minorHAnsi"/>
          <w:iCs/>
          <w:kern w:val="22"/>
          <w:lang w:val="it-IT" w:eastAsia="it-IT"/>
        </w:rPr>
        <w:t>)</w:t>
      </w:r>
      <w:r w:rsidRPr="00CD158B">
        <w:rPr>
          <w:rFonts w:eastAsia="Times" w:cstheme="minorHAnsi"/>
          <w:iCs/>
          <w:kern w:val="22"/>
          <w:lang w:val="it-IT" w:eastAsia="it-IT"/>
        </w:rPr>
        <w:t xml:space="preserve">, </w:t>
      </w:r>
      <w:r w:rsidR="00A136DE" w:rsidRPr="00CD158B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Pr="00CD158B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06B233E7" w14:textId="7427B806" w:rsidR="00FE4A03" w:rsidRPr="00133877" w:rsidRDefault="00FE4A03" w:rsidP="00133877">
      <w:pPr>
        <w:spacing w:after="0" w:line="360" w:lineRule="auto"/>
        <w:rPr>
          <w:rFonts w:cstheme="minorHAnsi"/>
        </w:rPr>
      </w:pPr>
      <w:r w:rsidRPr="00133877">
        <w:rPr>
          <w:rFonts w:cstheme="minorHAnsi"/>
        </w:rPr>
        <w:t>- w części XI SWZ – Termin związania ofertą – pkt 1 otrzymuje brzmienie następujące:</w:t>
      </w:r>
    </w:p>
    <w:p w14:paraId="52C606AD" w14:textId="7E137EBA" w:rsidR="00FE4A03" w:rsidRPr="00133877" w:rsidRDefault="00FE4A03" w:rsidP="00133877">
      <w:pPr>
        <w:spacing w:line="360" w:lineRule="auto"/>
        <w:rPr>
          <w:rFonts w:cstheme="minorHAnsi"/>
          <w:b/>
          <w:i/>
        </w:rPr>
      </w:pPr>
      <w:r w:rsidRPr="00133877">
        <w:rPr>
          <w:rFonts w:cstheme="minorHAnsi"/>
          <w:b/>
          <w:i/>
        </w:rPr>
        <w:t xml:space="preserve">„1. Wykonawca składający ofertę jest nią związany nie dłużej niż 90 dni od dnia upływu terminu składania ofert, tj. </w:t>
      </w:r>
      <w:r w:rsidRPr="00133877">
        <w:rPr>
          <w:rFonts w:cstheme="minorHAnsi"/>
          <w:b/>
          <w:i/>
          <w:color w:val="FF0000"/>
        </w:rPr>
        <w:t xml:space="preserve">do dnia </w:t>
      </w:r>
      <w:r w:rsidR="009F167C">
        <w:rPr>
          <w:rFonts w:cstheme="minorHAnsi"/>
          <w:b/>
          <w:i/>
          <w:color w:val="FF0000"/>
        </w:rPr>
        <w:t>27</w:t>
      </w:r>
      <w:r w:rsidR="00CD158B">
        <w:rPr>
          <w:rFonts w:cstheme="minorHAnsi"/>
          <w:b/>
          <w:i/>
          <w:color w:val="FF0000"/>
        </w:rPr>
        <w:t>.07.2025</w:t>
      </w:r>
      <w:r w:rsidRPr="00133877">
        <w:rPr>
          <w:rFonts w:cstheme="minorHAnsi"/>
          <w:b/>
          <w:i/>
          <w:color w:val="FF0000"/>
        </w:rPr>
        <w:t xml:space="preserve"> r.</w:t>
      </w:r>
      <w:r w:rsidRPr="00133877">
        <w:rPr>
          <w:rFonts w:cstheme="minorHAnsi"/>
          <w:b/>
          <w:i/>
        </w:rPr>
        <w:t>”</w:t>
      </w:r>
      <w:bookmarkStart w:id="0" w:name="_GoBack"/>
      <w:bookmarkEnd w:id="0"/>
    </w:p>
    <w:p w14:paraId="11B8D615" w14:textId="6CC51D0D" w:rsidR="00FE4A03" w:rsidRPr="00133877" w:rsidRDefault="00FE4A03" w:rsidP="00133877">
      <w:pPr>
        <w:spacing w:after="0" w:line="360" w:lineRule="auto"/>
        <w:rPr>
          <w:rFonts w:cstheme="minorHAnsi"/>
        </w:rPr>
      </w:pPr>
      <w:r w:rsidRPr="00133877">
        <w:rPr>
          <w:rFonts w:cstheme="minorHAnsi"/>
        </w:rPr>
        <w:t>- w części XIV SWZ – Sposób oraz termin składania ofert - pkt 1 otrzymuje brzmienie następujące:</w:t>
      </w:r>
    </w:p>
    <w:p w14:paraId="406A07A3" w14:textId="5761E7B7" w:rsidR="00FE4A03" w:rsidRPr="00133877" w:rsidRDefault="00FE4A03" w:rsidP="00133877">
      <w:pPr>
        <w:spacing w:line="360" w:lineRule="auto"/>
        <w:ind w:left="426" w:hanging="426"/>
        <w:rPr>
          <w:rFonts w:cstheme="minorHAnsi"/>
          <w:b/>
          <w:i/>
          <w:color w:val="FF0000"/>
        </w:rPr>
      </w:pPr>
      <w:r w:rsidRPr="00133877">
        <w:rPr>
          <w:rFonts w:cstheme="minorHAnsi"/>
          <w:b/>
          <w:i/>
        </w:rPr>
        <w:t xml:space="preserve">„1. Ofertę należy złożyć w terminie do dnia </w:t>
      </w:r>
      <w:r w:rsidR="009F167C">
        <w:rPr>
          <w:rFonts w:cstheme="minorHAnsi"/>
          <w:b/>
          <w:i/>
          <w:color w:val="FF0000"/>
        </w:rPr>
        <w:t>29</w:t>
      </w:r>
      <w:r w:rsidR="00CD158B">
        <w:rPr>
          <w:rFonts w:cstheme="minorHAnsi"/>
          <w:b/>
          <w:i/>
          <w:color w:val="FF0000"/>
        </w:rPr>
        <w:t>.04.2025</w:t>
      </w:r>
      <w:r w:rsidRPr="00133877">
        <w:rPr>
          <w:rFonts w:cstheme="minorHAnsi"/>
          <w:b/>
          <w:i/>
          <w:color w:val="FF0000"/>
        </w:rPr>
        <w:t xml:space="preserve"> r. do godziny 9.00.”</w:t>
      </w:r>
    </w:p>
    <w:p w14:paraId="72092305" w14:textId="75B6E64D" w:rsidR="00FE4A03" w:rsidRPr="00133877" w:rsidRDefault="00FE4A03" w:rsidP="00133877">
      <w:pPr>
        <w:spacing w:after="0" w:line="360" w:lineRule="auto"/>
        <w:ind w:left="426" w:hanging="426"/>
        <w:rPr>
          <w:rFonts w:cstheme="minorHAnsi"/>
        </w:rPr>
      </w:pPr>
      <w:r w:rsidRPr="00133877">
        <w:rPr>
          <w:rFonts w:cstheme="minorHAnsi"/>
        </w:rPr>
        <w:t xml:space="preserve">- w części XV SWZ – Termin </w:t>
      </w:r>
      <w:r w:rsidR="00A136DE" w:rsidRPr="00133877">
        <w:rPr>
          <w:rFonts w:cstheme="minorHAnsi"/>
        </w:rPr>
        <w:t>otwarcia</w:t>
      </w:r>
      <w:r w:rsidRPr="00133877">
        <w:rPr>
          <w:rFonts w:cstheme="minorHAnsi"/>
        </w:rPr>
        <w:t xml:space="preserve"> ofert - pkt 1 otrzymuje brzmienie następujące:</w:t>
      </w:r>
    </w:p>
    <w:p w14:paraId="729223A8" w14:textId="7919E893" w:rsidR="00FE4A03" w:rsidRDefault="00FE4A03" w:rsidP="00133877">
      <w:pPr>
        <w:spacing w:line="360" w:lineRule="auto"/>
        <w:ind w:left="426" w:hanging="426"/>
        <w:rPr>
          <w:rFonts w:cstheme="minorHAnsi"/>
          <w:b/>
          <w:i/>
        </w:rPr>
      </w:pPr>
      <w:r w:rsidRPr="00133877">
        <w:rPr>
          <w:rFonts w:cstheme="minorHAnsi"/>
          <w:b/>
          <w:i/>
        </w:rPr>
        <w:t xml:space="preserve">„1. Otwarcie ofert nastąpi w dniu </w:t>
      </w:r>
      <w:r w:rsidR="009F167C">
        <w:rPr>
          <w:rFonts w:cstheme="minorHAnsi"/>
          <w:b/>
          <w:i/>
          <w:color w:val="FF0000"/>
        </w:rPr>
        <w:t>29</w:t>
      </w:r>
      <w:r w:rsidR="00CD158B">
        <w:rPr>
          <w:rFonts w:cstheme="minorHAnsi"/>
          <w:b/>
          <w:i/>
          <w:color w:val="FF0000"/>
        </w:rPr>
        <w:t>.04.2025</w:t>
      </w:r>
      <w:r w:rsidR="00133877" w:rsidRPr="00133877">
        <w:rPr>
          <w:rFonts w:cstheme="minorHAnsi"/>
          <w:b/>
          <w:i/>
          <w:color w:val="FF0000"/>
        </w:rPr>
        <w:t xml:space="preserve"> r. o godzinie 09.05</w:t>
      </w:r>
      <w:r w:rsidRPr="00133877">
        <w:rPr>
          <w:rFonts w:cstheme="minorHAnsi"/>
          <w:b/>
          <w:i/>
          <w:color w:val="FF0000"/>
        </w:rPr>
        <w:t>.</w:t>
      </w:r>
      <w:r w:rsidRPr="00133877">
        <w:rPr>
          <w:rFonts w:cstheme="minorHAnsi"/>
          <w:b/>
          <w:i/>
        </w:rPr>
        <w:t>”</w:t>
      </w:r>
    </w:p>
    <w:p w14:paraId="35EE6DEF" w14:textId="176642E2" w:rsidR="005911F7" w:rsidRPr="005911F7" w:rsidRDefault="005911F7" w:rsidP="005911F7">
      <w:pPr>
        <w:spacing w:line="276" w:lineRule="auto"/>
        <w:rPr>
          <w:rFonts w:eastAsia="Times New Roman" w:cstheme="minorHAnsi"/>
          <w:b/>
          <w:bCs/>
          <w:lang w:eastAsia="pl-PL"/>
        </w:rPr>
      </w:pPr>
      <w:r w:rsidRPr="005911F7">
        <w:rPr>
          <w:rFonts w:cstheme="minorHAnsi"/>
          <w:b/>
          <w:i/>
        </w:rPr>
        <w:t xml:space="preserve">- </w:t>
      </w:r>
      <w:r w:rsidRPr="005911F7">
        <w:rPr>
          <w:rFonts w:eastAsia="Times New Roman" w:cstheme="minorHAnsi"/>
          <w:b/>
          <w:bCs/>
          <w:lang w:eastAsia="pl-PL"/>
        </w:rPr>
        <w:t xml:space="preserve">Zamawiający </w:t>
      </w:r>
      <w:r w:rsidR="00C25170">
        <w:rPr>
          <w:rFonts w:eastAsia="Times New Roman" w:cstheme="minorHAnsi"/>
          <w:b/>
          <w:bCs/>
          <w:lang w:eastAsia="pl-PL"/>
        </w:rPr>
        <w:t>zmienia treść załącznika nr 2</w:t>
      </w:r>
      <w:r>
        <w:rPr>
          <w:rFonts w:eastAsia="Times New Roman" w:cstheme="minorHAnsi"/>
          <w:b/>
          <w:bCs/>
          <w:lang w:eastAsia="pl-PL"/>
        </w:rPr>
        <w:t xml:space="preserve"> do SWZ:</w:t>
      </w:r>
    </w:p>
    <w:p w14:paraId="16FC4431" w14:textId="574C7098" w:rsidR="005911F7" w:rsidRPr="005911F7" w:rsidRDefault="005911F7" w:rsidP="005911F7">
      <w:pPr>
        <w:numPr>
          <w:ilvl w:val="0"/>
          <w:numId w:val="11"/>
        </w:numPr>
        <w:spacing w:after="0" w:line="276" w:lineRule="auto"/>
        <w:ind w:left="284" w:hanging="142"/>
        <w:contextualSpacing/>
        <w:rPr>
          <w:rFonts w:eastAsia="Times New Roman" w:cstheme="minorHAnsi"/>
          <w:b/>
          <w:lang w:val="x-none" w:eastAsia="x-none"/>
        </w:rPr>
      </w:pPr>
      <w:r w:rsidRPr="005911F7">
        <w:rPr>
          <w:rFonts w:eastAsia="Times New Roman" w:cstheme="minorHAnsi"/>
          <w:b/>
          <w:lang w:val="x-none" w:eastAsia="x-none"/>
        </w:rPr>
        <w:t>Charakterystyka komór metabolicznych i wyposażenie</w:t>
      </w:r>
      <w:r>
        <w:rPr>
          <w:rFonts w:eastAsia="Times New Roman" w:cstheme="minorHAnsi"/>
          <w:b/>
          <w:lang w:eastAsia="x-none"/>
        </w:rPr>
        <w:t xml:space="preserve"> pkt 7 </w:t>
      </w:r>
      <w:r w:rsidRPr="005911F7">
        <w:rPr>
          <w:rFonts w:eastAsia="Times New Roman" w:cstheme="minorHAnsi"/>
          <w:lang w:eastAsia="x-none"/>
        </w:rPr>
        <w:t>otrzymuje brzmienie</w:t>
      </w:r>
      <w:r>
        <w:rPr>
          <w:rFonts w:eastAsia="Times New Roman" w:cstheme="minorHAnsi"/>
          <w:b/>
          <w:lang w:eastAsia="x-none"/>
        </w:rPr>
        <w:t xml:space="preserve">: </w:t>
      </w:r>
    </w:p>
    <w:p w14:paraId="08F2259B" w14:textId="2A88612B" w:rsidR="005911F7" w:rsidRPr="005911F7" w:rsidRDefault="005911F7" w:rsidP="005911F7">
      <w:pPr>
        <w:autoSpaceDE w:val="0"/>
        <w:autoSpaceDN w:val="0"/>
        <w:adjustRightInd w:val="0"/>
        <w:spacing w:before="120" w:after="360" w:line="276" w:lineRule="auto"/>
        <w:rPr>
          <w:rFonts w:eastAsia="Times New Roman" w:cstheme="minorHAnsi"/>
          <w:bCs/>
          <w:i/>
          <w:lang w:eastAsia="pl-PL"/>
        </w:rPr>
      </w:pPr>
      <w:r w:rsidRPr="005911F7">
        <w:rPr>
          <w:rFonts w:eastAsia="Times New Roman" w:cstheme="minorHAnsi"/>
          <w:bCs/>
          <w:i/>
          <w:lang w:eastAsia="pl-PL"/>
        </w:rPr>
        <w:t xml:space="preserve"> </w:t>
      </w:r>
      <w:r w:rsidRPr="005911F7">
        <w:rPr>
          <w:rFonts w:eastAsia="Times New Roman" w:cstheme="minorHAnsi"/>
          <w:bCs/>
          <w:i/>
          <w:lang w:eastAsia="pl-PL"/>
        </w:rPr>
        <w:t>„</w:t>
      </w:r>
      <w:r w:rsidRPr="005911F7">
        <w:rPr>
          <w:rFonts w:eastAsia="Times New Roman" w:cstheme="minorHAnsi"/>
          <w:bCs/>
          <w:lang w:eastAsia="pl-PL"/>
        </w:rPr>
        <w:t xml:space="preserve">Każda z komór jest dostosowana do umieszczenia w niej sprzętu treningowego: rowerka stacjonarnego i bieżni </w:t>
      </w:r>
      <w:r w:rsidRPr="005911F7">
        <w:rPr>
          <w:rFonts w:eastAsia="Times New Roman" w:cstheme="minorHAnsi"/>
          <w:bCs/>
          <w:color w:val="FF0000"/>
          <w:lang w:eastAsia="pl-PL"/>
        </w:rPr>
        <w:t>(</w:t>
      </w:r>
      <w:r w:rsidRPr="005911F7">
        <w:rPr>
          <w:rFonts w:eastAsia="Times New Roman" w:cstheme="minorHAnsi"/>
          <w:bCs/>
          <w:strike/>
          <w:color w:val="FF0000"/>
          <w:lang w:eastAsia="pl-PL"/>
        </w:rPr>
        <w:t>wymieniony sprzęt dostarczony wraz z komorą</w:t>
      </w:r>
      <w:r w:rsidRPr="005911F7">
        <w:rPr>
          <w:rFonts w:eastAsia="Times New Roman" w:cstheme="minorHAnsi"/>
          <w:bCs/>
          <w:color w:val="FF0000"/>
          <w:lang w:eastAsia="pl-PL"/>
        </w:rPr>
        <w:t xml:space="preserve">). </w:t>
      </w:r>
      <w:r w:rsidRPr="005911F7">
        <w:rPr>
          <w:rFonts w:eastAsia="Times New Roman" w:cstheme="minorHAnsi"/>
          <w:bCs/>
          <w:lang w:eastAsia="pl-PL"/>
        </w:rPr>
        <w:t>Komora powinna mieć możliwość podłączenia ww. sprzętu i umożliwiać monitorowanie parametrów metabolicznych pacjenta podczas wysiłku fizycznego. Dzięki temu komora pozwala na badanie wydatku energetycznego i spalania substratów zarówno w stanie spoczynku, jak i podczas aktywności fizycznej.”</w:t>
      </w:r>
    </w:p>
    <w:p w14:paraId="4C996ED2" w14:textId="58E35107" w:rsidR="005911F7" w:rsidRPr="005911F7" w:rsidRDefault="005911F7" w:rsidP="005911F7">
      <w:pPr>
        <w:numPr>
          <w:ilvl w:val="0"/>
          <w:numId w:val="10"/>
        </w:numPr>
        <w:spacing w:after="0" w:line="276" w:lineRule="auto"/>
        <w:contextualSpacing/>
        <w:rPr>
          <w:rFonts w:eastAsia="Times New Roman" w:cstheme="minorHAnsi"/>
          <w:b/>
          <w:bCs/>
          <w:lang w:eastAsia="pl-PL"/>
        </w:rPr>
      </w:pPr>
      <w:r w:rsidRPr="005911F7">
        <w:rPr>
          <w:rFonts w:eastAsia="Times New Roman" w:cstheme="minorHAnsi"/>
          <w:b/>
          <w:bCs/>
          <w:lang w:eastAsia="pl-PL"/>
        </w:rPr>
        <w:t>WYMAGANIA OGÓLNE</w:t>
      </w:r>
      <w:r>
        <w:rPr>
          <w:rFonts w:eastAsia="Times New Roman" w:cstheme="minorHAnsi"/>
          <w:b/>
          <w:bCs/>
          <w:lang w:eastAsia="pl-PL"/>
        </w:rPr>
        <w:t xml:space="preserve"> pkt 1 </w:t>
      </w:r>
      <w:r w:rsidRPr="005911F7">
        <w:rPr>
          <w:rFonts w:eastAsia="Times New Roman" w:cstheme="minorHAnsi"/>
          <w:bCs/>
          <w:lang w:eastAsia="pl-PL"/>
        </w:rPr>
        <w:t>otrzymuje brzmienie:</w:t>
      </w:r>
      <w:r>
        <w:rPr>
          <w:rFonts w:eastAsia="Times New Roman" w:cstheme="minorHAnsi"/>
          <w:b/>
          <w:bCs/>
          <w:lang w:eastAsia="pl-PL"/>
        </w:rPr>
        <w:t xml:space="preserve"> </w:t>
      </w:r>
    </w:p>
    <w:p w14:paraId="640E3F23" w14:textId="4DADCC73" w:rsidR="005911F7" w:rsidRDefault="005911F7" w:rsidP="005911F7">
      <w:pPr>
        <w:autoSpaceDE w:val="0"/>
        <w:autoSpaceDN w:val="0"/>
        <w:adjustRightInd w:val="0"/>
        <w:spacing w:before="120" w:after="36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 xml:space="preserve">„Komora metaboliczna objęta jest min. </w:t>
      </w:r>
      <w:r w:rsidRPr="005911F7">
        <w:rPr>
          <w:rFonts w:eastAsia="Times New Roman" w:cstheme="minorHAnsi"/>
          <w:bCs/>
          <w:color w:val="FF0000"/>
          <w:lang w:eastAsia="pl-PL"/>
        </w:rPr>
        <w:t>3</w:t>
      </w:r>
      <w:r w:rsidRPr="005911F7">
        <w:rPr>
          <w:rFonts w:eastAsia="Times New Roman" w:cstheme="minorHAnsi"/>
          <w:bCs/>
          <w:lang w:eastAsia="pl-PL"/>
        </w:rPr>
        <w:t xml:space="preserve"> letnią gwarancją, która rozpoczyna się z momentem uruchomienia i obejmuje cały zestaw, z wyłączeniem materiałów eksploatacyjnych, takich jak filtry i gazy kalibracyjne. Gwarancja zapewnia, że wszelkie wady systemu, wynikające z błędów produkcyjnych lub instalacyjnych, będą naprawiane przez producenta.”</w:t>
      </w:r>
    </w:p>
    <w:p w14:paraId="1F892B40" w14:textId="6968991C" w:rsidR="00C25170" w:rsidRPr="005911F7" w:rsidRDefault="00C25170" w:rsidP="00C25170">
      <w:pPr>
        <w:spacing w:line="276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- </w:t>
      </w:r>
      <w:r w:rsidRPr="005911F7">
        <w:rPr>
          <w:rFonts w:eastAsia="Times New Roman" w:cstheme="minorHAnsi"/>
          <w:b/>
          <w:bCs/>
          <w:lang w:eastAsia="pl-PL"/>
        </w:rPr>
        <w:t xml:space="preserve">Zamawiający </w:t>
      </w:r>
      <w:r>
        <w:rPr>
          <w:rFonts w:eastAsia="Times New Roman" w:cstheme="minorHAnsi"/>
          <w:b/>
          <w:bCs/>
          <w:lang w:eastAsia="pl-PL"/>
        </w:rPr>
        <w:t xml:space="preserve">zmienia treść załącznika nr </w:t>
      </w:r>
      <w:r>
        <w:rPr>
          <w:rFonts w:eastAsia="Times New Roman" w:cstheme="minorHAnsi"/>
          <w:b/>
          <w:bCs/>
          <w:lang w:eastAsia="pl-PL"/>
        </w:rPr>
        <w:t>4 do SWZ:</w:t>
      </w:r>
    </w:p>
    <w:p w14:paraId="29A225A3" w14:textId="15030684" w:rsidR="005911F7" w:rsidRPr="005911F7" w:rsidRDefault="005911F7" w:rsidP="005911F7">
      <w:pPr>
        <w:spacing w:after="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SimSun" w:cstheme="minorHAnsi"/>
          <w:b/>
          <w:bCs/>
          <w:caps/>
          <w:kern w:val="2"/>
          <w:lang w:val="x-none" w:eastAsia="hi-IN" w:bidi="hi-IN"/>
        </w:rPr>
        <w:t>ocen</w:t>
      </w:r>
      <w:r w:rsidRPr="005911F7">
        <w:rPr>
          <w:rFonts w:eastAsia="SimSun" w:cstheme="minorHAnsi"/>
          <w:b/>
          <w:bCs/>
          <w:caps/>
          <w:kern w:val="2"/>
          <w:lang w:eastAsia="hi-IN" w:bidi="hi-IN"/>
        </w:rPr>
        <w:t>A WARUNKÓW GWARANCJI</w:t>
      </w:r>
      <w:r>
        <w:rPr>
          <w:rFonts w:eastAsia="SimSun" w:cstheme="minorHAnsi"/>
          <w:b/>
          <w:bCs/>
          <w:caps/>
          <w:kern w:val="2"/>
          <w:lang w:eastAsia="hi-IN" w:bidi="hi-IN"/>
        </w:rPr>
        <w:t xml:space="preserve"> </w:t>
      </w:r>
      <w:r w:rsidRPr="005911F7">
        <w:rPr>
          <w:rFonts w:eastAsia="Times New Roman" w:cstheme="minorHAnsi"/>
          <w:bCs/>
          <w:lang w:eastAsia="pl-PL"/>
        </w:rPr>
        <w:t xml:space="preserve">otrzymuje brzmienie:  </w:t>
      </w:r>
    </w:p>
    <w:p w14:paraId="336F7E41" w14:textId="158BA769" w:rsidR="005911F7" w:rsidRPr="005911F7" w:rsidRDefault="005911F7" w:rsidP="005911F7">
      <w:pPr>
        <w:spacing w:after="0" w:line="276" w:lineRule="auto"/>
        <w:rPr>
          <w:rFonts w:eastAsia="SimSun" w:cstheme="minorHAnsi"/>
          <w:bCs/>
          <w:caps/>
          <w:kern w:val="2"/>
          <w:lang w:eastAsia="hi-IN" w:bidi="hi-IN"/>
        </w:rPr>
      </w:pPr>
      <w:r w:rsidRPr="005911F7">
        <w:rPr>
          <w:rFonts w:eastAsia="Times New Roman" w:cstheme="minorHAnsi"/>
          <w:bCs/>
          <w:lang w:eastAsia="pl-PL"/>
        </w:rPr>
        <w:t>„Okres gwarancji nie krótszy niż 36 miesiące</w:t>
      </w:r>
    </w:p>
    <w:p w14:paraId="574B5EF3" w14:textId="77777777" w:rsidR="005911F7" w:rsidRPr="005911F7" w:rsidRDefault="005911F7" w:rsidP="005911F7">
      <w:pPr>
        <w:autoSpaceDE w:val="0"/>
        <w:autoSpaceDN w:val="0"/>
        <w:adjustRightInd w:val="0"/>
        <w:spacing w:before="120" w:after="36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 xml:space="preserve">Okres punktowany od </w:t>
      </w:r>
      <w:r w:rsidRPr="005911F7">
        <w:rPr>
          <w:rFonts w:eastAsia="Times New Roman" w:cstheme="minorHAnsi"/>
          <w:bCs/>
          <w:color w:val="FF0000"/>
          <w:lang w:eastAsia="pl-PL"/>
        </w:rPr>
        <w:t>36 miesięcy do 48 miesięcy</w:t>
      </w:r>
      <w:r w:rsidRPr="005911F7">
        <w:rPr>
          <w:rFonts w:eastAsia="Times New Roman" w:cstheme="minorHAnsi"/>
          <w:bCs/>
          <w:lang w:eastAsia="pl-PL"/>
        </w:rPr>
        <w:t>.</w:t>
      </w:r>
    </w:p>
    <w:p w14:paraId="01867A3B" w14:textId="77777777" w:rsidR="005911F7" w:rsidRPr="005911F7" w:rsidRDefault="005911F7" w:rsidP="005911F7">
      <w:pPr>
        <w:autoSpaceDE w:val="0"/>
        <w:autoSpaceDN w:val="0"/>
        <w:adjustRightInd w:val="0"/>
        <w:spacing w:before="120" w:after="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lastRenderedPageBreak/>
        <w:t xml:space="preserve">UWAGA: </w:t>
      </w:r>
    </w:p>
    <w:p w14:paraId="1F0BD6C4" w14:textId="77777777" w:rsidR="005911F7" w:rsidRPr="005911F7" w:rsidRDefault="005911F7" w:rsidP="005911F7">
      <w:pPr>
        <w:autoSpaceDE w:val="0"/>
        <w:autoSpaceDN w:val="0"/>
        <w:adjustRightInd w:val="0"/>
        <w:spacing w:before="120" w:after="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>długość okresu gwarancji musi zostać określona w pełnych miesiącach,</w:t>
      </w:r>
    </w:p>
    <w:p w14:paraId="243AF2ED" w14:textId="77777777" w:rsidR="005911F7" w:rsidRPr="005911F7" w:rsidRDefault="005911F7" w:rsidP="005911F7">
      <w:pPr>
        <w:autoSpaceDE w:val="0"/>
        <w:autoSpaceDN w:val="0"/>
        <w:adjustRightInd w:val="0"/>
        <w:spacing w:before="120" w:after="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>w przypadku, gdy Wykonawca:</w:t>
      </w:r>
    </w:p>
    <w:p w14:paraId="04862549" w14:textId="77777777" w:rsidR="005911F7" w:rsidRPr="005911F7" w:rsidRDefault="005911F7" w:rsidP="005911F7">
      <w:pPr>
        <w:autoSpaceDE w:val="0"/>
        <w:autoSpaceDN w:val="0"/>
        <w:adjustRightInd w:val="0"/>
        <w:spacing w:after="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>– nie wpisze żadnego okresu gwarancji, Zamawiający przyjmie, że Wykonawca udziela minimalnego okresu gwarancji (</w:t>
      </w:r>
      <w:r w:rsidRPr="005911F7">
        <w:rPr>
          <w:rFonts w:eastAsia="Times New Roman" w:cstheme="minorHAnsi"/>
          <w:bCs/>
          <w:color w:val="FF0000"/>
          <w:lang w:eastAsia="pl-PL"/>
        </w:rPr>
        <w:t>36 miesięcy</w:t>
      </w:r>
      <w:r w:rsidRPr="005911F7">
        <w:rPr>
          <w:rFonts w:eastAsia="Times New Roman" w:cstheme="minorHAnsi"/>
          <w:bCs/>
          <w:lang w:eastAsia="pl-PL"/>
        </w:rPr>
        <w:t>),</w:t>
      </w:r>
    </w:p>
    <w:p w14:paraId="29511FAD" w14:textId="77777777" w:rsidR="005911F7" w:rsidRPr="005911F7" w:rsidRDefault="005911F7" w:rsidP="005911F7">
      <w:pPr>
        <w:autoSpaceDE w:val="0"/>
        <w:autoSpaceDN w:val="0"/>
        <w:adjustRightInd w:val="0"/>
        <w:spacing w:before="12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>– wpisze okres gwarancji w niepełnych miesiącach, Zamawiający do obliczeń w zakresie kryterium „Okres gwarancji” przyjmie okres dokonując zaokrąglenia w dół,</w:t>
      </w:r>
    </w:p>
    <w:p w14:paraId="71FC4988" w14:textId="5C6BB9CA" w:rsidR="005911F7" w:rsidRDefault="005911F7" w:rsidP="005911F7">
      <w:pPr>
        <w:autoSpaceDE w:val="0"/>
        <w:autoSpaceDN w:val="0"/>
        <w:adjustRightInd w:val="0"/>
        <w:spacing w:before="120" w:after="360" w:line="276" w:lineRule="auto"/>
        <w:rPr>
          <w:rFonts w:eastAsia="Times New Roman" w:cstheme="minorHAnsi"/>
          <w:bCs/>
          <w:lang w:eastAsia="pl-PL"/>
        </w:rPr>
      </w:pPr>
      <w:r w:rsidRPr="005911F7">
        <w:rPr>
          <w:rFonts w:eastAsia="Times New Roman" w:cstheme="minorHAnsi"/>
          <w:bCs/>
          <w:lang w:eastAsia="pl-PL"/>
        </w:rPr>
        <w:t>– wpisze okres gwarancji krótszy niż minimalny (</w:t>
      </w:r>
      <w:r w:rsidRPr="005911F7">
        <w:rPr>
          <w:rFonts w:eastAsia="Times New Roman" w:cstheme="minorHAnsi"/>
          <w:bCs/>
          <w:color w:val="FF0000"/>
          <w:lang w:eastAsia="pl-PL"/>
        </w:rPr>
        <w:t>36 miesięcy</w:t>
      </w:r>
      <w:r w:rsidRPr="005911F7">
        <w:rPr>
          <w:rFonts w:eastAsia="Times New Roman" w:cstheme="minorHAnsi"/>
          <w:bCs/>
          <w:lang w:eastAsia="pl-PL"/>
        </w:rPr>
        <w:t>), Zamawiający odrzuci ofertę jako niezgodną z wymaganiami.”</w:t>
      </w:r>
    </w:p>
    <w:p w14:paraId="5DC1FB6E" w14:textId="77777777" w:rsidR="00C25170" w:rsidRPr="00C25170" w:rsidRDefault="00C25170" w:rsidP="00C25170">
      <w:pPr>
        <w:suppressAutoHyphens/>
        <w:overflowPunct w:val="0"/>
        <w:autoSpaceDE w:val="0"/>
        <w:spacing w:after="0" w:line="360" w:lineRule="auto"/>
        <w:ind w:left="284" w:hanging="284"/>
        <w:rPr>
          <w:rFonts w:ascii="Calibri" w:eastAsia="Times New Roman" w:hAnsi="Calibri" w:cs="Calibri"/>
          <w:i/>
          <w:color w:val="000000"/>
          <w:lang w:eastAsia="zh-CN"/>
        </w:rPr>
      </w:pPr>
      <w:r w:rsidRPr="00C25170">
        <w:rPr>
          <w:rFonts w:ascii="Calibri" w:eastAsia="Times New Roman" w:hAnsi="Calibri" w:cs="Calibri"/>
          <w:i/>
          <w:iCs/>
          <w:color w:val="000000"/>
          <w:lang w:val="it-IT" w:eastAsia="pl-PL"/>
        </w:rPr>
        <w:t>Zamawiający wprowadza nowy obowiązujący dokument:</w:t>
      </w:r>
    </w:p>
    <w:p w14:paraId="2BC35233" w14:textId="2811963C" w:rsidR="00C25170" w:rsidRPr="00C25170" w:rsidRDefault="00C25170" w:rsidP="00C25170">
      <w:pPr>
        <w:numPr>
          <w:ilvl w:val="0"/>
          <w:numId w:val="12"/>
        </w:numPr>
        <w:spacing w:before="240" w:after="3" w:line="360" w:lineRule="auto"/>
        <w:contextualSpacing/>
        <w:rPr>
          <w:rFonts w:ascii="Calibri" w:eastAsia="Times New Roman" w:hAnsi="Calibri" w:cs="Calibri"/>
          <w:b/>
          <w:i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i/>
          <w:iCs/>
          <w:color w:val="000000"/>
          <w:lang w:val="it-IT" w:eastAsia="pl-PL"/>
        </w:rPr>
        <w:t>Załączniki nr 2, 4</w:t>
      </w:r>
      <w:r w:rsidRPr="00C25170">
        <w:rPr>
          <w:rFonts w:ascii="Calibri" w:eastAsia="Times New Roman" w:hAnsi="Calibri" w:cs="Calibri"/>
          <w:b/>
          <w:i/>
          <w:iCs/>
          <w:color w:val="000000"/>
          <w:lang w:val="it-IT" w:eastAsia="pl-PL"/>
        </w:rPr>
        <w:t xml:space="preserve"> do SWZ - </w:t>
      </w:r>
      <w:r>
        <w:rPr>
          <w:rFonts w:ascii="Calibri" w:eastAsia="Times New Roman" w:hAnsi="Calibri" w:cs="Calibri"/>
          <w:i/>
          <w:iCs/>
          <w:color w:val="000000"/>
          <w:lang w:val="it-IT" w:eastAsia="pl-PL"/>
        </w:rPr>
        <w:t>dokumenty w załączeniu.</w:t>
      </w:r>
    </w:p>
    <w:p w14:paraId="6B6EE55B" w14:textId="77777777" w:rsidR="00FE4A03" w:rsidRPr="005911F7" w:rsidRDefault="00FE4A03" w:rsidP="00133877">
      <w:pPr>
        <w:pStyle w:val="Akapitzlist"/>
        <w:numPr>
          <w:ilvl w:val="0"/>
          <w:numId w:val="9"/>
        </w:numPr>
        <w:spacing w:after="200" w:line="360" w:lineRule="auto"/>
        <w:ind w:left="426" w:hanging="426"/>
        <w:rPr>
          <w:rFonts w:eastAsia="Times" w:cstheme="minorHAnsi"/>
          <w:b/>
          <w:iCs/>
          <w:sz w:val="22"/>
          <w:szCs w:val="22"/>
          <w:lang w:val="it-IT" w:eastAsia="it-IT"/>
        </w:rPr>
      </w:pPr>
      <w:r w:rsidRPr="005911F7">
        <w:rPr>
          <w:rFonts w:eastAsia="Times" w:cstheme="minorHAnsi"/>
          <w:iCs/>
          <w:sz w:val="22"/>
          <w:szCs w:val="22"/>
          <w:lang w:val="it-IT" w:eastAsia="it-IT"/>
        </w:rPr>
        <w:t xml:space="preserve">Zmiany są wiążące dla Wykonawców i Zamawiającego. </w:t>
      </w:r>
    </w:p>
    <w:p w14:paraId="79500028" w14:textId="5602E814" w:rsidR="00FE4A03" w:rsidRPr="005911F7" w:rsidRDefault="00FE4A03" w:rsidP="00133877">
      <w:pPr>
        <w:numPr>
          <w:ilvl w:val="0"/>
          <w:numId w:val="9"/>
        </w:numPr>
        <w:autoSpaceDN w:val="0"/>
        <w:spacing w:line="360" w:lineRule="auto"/>
        <w:ind w:left="426" w:hanging="426"/>
        <w:rPr>
          <w:rFonts w:eastAsia="Times" w:cstheme="minorHAnsi"/>
          <w:iCs/>
          <w:lang w:val="it-IT" w:eastAsia="it-IT"/>
        </w:rPr>
      </w:pPr>
      <w:r w:rsidRPr="005911F7">
        <w:rPr>
          <w:rFonts w:eastAsia="Times" w:cstheme="minorHAnsi"/>
          <w:iCs/>
          <w:lang w:val="it-IT" w:eastAsia="it-IT"/>
        </w:rPr>
        <w:t>Pozostałe zapisy SWZ bez zmian.</w:t>
      </w:r>
    </w:p>
    <w:p w14:paraId="12B2A2D7" w14:textId="0B69EB7C" w:rsidR="00DA4115" w:rsidRPr="005911F7" w:rsidRDefault="00FE4A03" w:rsidP="00133877">
      <w:pPr>
        <w:numPr>
          <w:ilvl w:val="0"/>
          <w:numId w:val="9"/>
        </w:numPr>
        <w:autoSpaceDN w:val="0"/>
        <w:spacing w:after="0" w:line="360" w:lineRule="auto"/>
        <w:ind w:left="426" w:hanging="426"/>
        <w:rPr>
          <w:rFonts w:cstheme="minorHAnsi"/>
          <w:color w:val="FF0000"/>
        </w:rPr>
      </w:pPr>
      <w:r w:rsidRPr="005911F7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5911F7">
        <w:rPr>
          <w:rFonts w:eastAsia="Times" w:cstheme="minorHAnsi"/>
          <w:b/>
          <w:iCs/>
          <w:lang w:val="it-IT" w:eastAsia="it-IT"/>
        </w:rPr>
        <w:t>prowadzą</w:t>
      </w:r>
      <w:r w:rsidRPr="005911F7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5911F7">
        <w:rPr>
          <w:rFonts w:eastAsia="Times" w:cstheme="minorHAnsi"/>
          <w:iCs/>
          <w:lang w:val="it-IT" w:eastAsia="it-IT"/>
        </w:rPr>
        <w:br/>
        <w:t>o zamówieniu.</w:t>
      </w:r>
      <w:r w:rsidRPr="005911F7">
        <w:rPr>
          <w:rFonts w:cstheme="minorHAnsi"/>
          <w:iCs/>
          <w:lang w:val="it-IT" w:eastAsia="it-IT"/>
        </w:rPr>
        <w:tab/>
      </w:r>
      <w:r w:rsidRPr="005911F7">
        <w:rPr>
          <w:rFonts w:cstheme="minorHAnsi"/>
          <w:iCs/>
          <w:color w:val="FF0000"/>
          <w:lang w:val="it-IT" w:eastAsia="it-IT"/>
        </w:rPr>
        <w:tab/>
      </w:r>
      <w:r w:rsidRPr="005911F7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911F7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911F7">
        <w:rPr>
          <w:rFonts w:cstheme="minorHAnsi"/>
          <w:b/>
          <w:iCs/>
          <w:color w:val="FF0000"/>
          <w:lang w:val="it-IT" w:eastAsia="it-IT"/>
        </w:rPr>
        <w:tab/>
      </w:r>
      <w:r w:rsidRPr="005911F7">
        <w:rPr>
          <w:rFonts w:cstheme="minorHAnsi"/>
          <w:b/>
          <w:iCs/>
          <w:color w:val="FF0000"/>
          <w:lang w:val="it-IT" w:eastAsia="it-IT"/>
        </w:rPr>
        <w:tab/>
      </w:r>
    </w:p>
    <w:p w14:paraId="42908E7E" w14:textId="39356CEF" w:rsidR="00FE4A03" w:rsidRPr="005911F7" w:rsidRDefault="00DA4115" w:rsidP="00133877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5911F7">
        <w:rPr>
          <w:rFonts w:cstheme="minorHAnsi"/>
        </w:rPr>
        <w:tab/>
      </w:r>
    </w:p>
    <w:p w14:paraId="7F6ECE8C" w14:textId="7A878DC1" w:rsidR="00DA4115" w:rsidRPr="005911F7" w:rsidRDefault="00DA4115" w:rsidP="00133877">
      <w:pPr>
        <w:spacing w:after="0" w:line="360" w:lineRule="auto"/>
        <w:rPr>
          <w:rFonts w:cstheme="minorHAnsi"/>
          <w:bCs/>
          <w:color w:val="000000"/>
          <w:spacing w:val="-4"/>
        </w:rPr>
      </w:pPr>
      <w:r w:rsidRPr="005911F7">
        <w:rPr>
          <w:rFonts w:cstheme="minorHAnsi"/>
          <w:b/>
        </w:rPr>
        <w:t>W imieniu Zamawiającego</w:t>
      </w:r>
      <w:r w:rsidR="00133877" w:rsidRPr="005911F7">
        <w:rPr>
          <w:rFonts w:cstheme="minorHAnsi"/>
          <w:b/>
        </w:rPr>
        <w:t xml:space="preserve"> </w:t>
      </w:r>
      <w:r w:rsidRPr="005911F7">
        <w:rPr>
          <w:rFonts w:cstheme="minorHAnsi"/>
          <w:b/>
        </w:rPr>
        <w:t>Kanclerz UMB</w:t>
      </w:r>
      <w:r w:rsidR="00133877" w:rsidRPr="005911F7">
        <w:rPr>
          <w:rFonts w:cstheme="minorHAnsi"/>
          <w:b/>
        </w:rPr>
        <w:t xml:space="preserve">  mgr Konrad Raczkowski</w:t>
      </w:r>
      <w:r w:rsidR="00C25170">
        <w:rPr>
          <w:rFonts w:cstheme="minorHAnsi"/>
          <w:b/>
        </w:rPr>
        <w:t xml:space="preserve"> </w:t>
      </w:r>
      <w:r w:rsidR="00C25170">
        <w:rPr>
          <w:rFonts w:cstheme="minorHAnsi"/>
        </w:rPr>
        <w:t xml:space="preserve">/podpis na oryginale/ </w:t>
      </w:r>
    </w:p>
    <w:p w14:paraId="0D15E34A" w14:textId="6E56950B" w:rsidR="00DA4115" w:rsidRPr="00133877" w:rsidRDefault="00511262" w:rsidP="00133877">
      <w:pPr>
        <w:spacing w:after="0" w:line="360" w:lineRule="auto"/>
        <w:ind w:left="5664"/>
        <w:rPr>
          <w:rFonts w:cstheme="minorHAnsi"/>
          <w:b/>
        </w:rPr>
      </w:pPr>
      <w:r w:rsidRPr="00133877">
        <w:rPr>
          <w:rFonts w:cstheme="minorHAnsi"/>
          <w:b/>
        </w:rPr>
        <w:t xml:space="preserve">              </w:t>
      </w:r>
      <w:r w:rsidR="00DA4115" w:rsidRPr="00133877">
        <w:rPr>
          <w:rFonts w:cstheme="minorHAnsi"/>
          <w:b/>
        </w:rPr>
        <w:t xml:space="preserve">         </w:t>
      </w:r>
    </w:p>
    <w:p w14:paraId="77A19BBD" w14:textId="4C45FADB" w:rsidR="00511262" w:rsidRPr="00133877" w:rsidRDefault="00DA4115" w:rsidP="00133877">
      <w:pPr>
        <w:spacing w:after="0" w:line="360" w:lineRule="auto"/>
        <w:ind w:left="5664"/>
        <w:rPr>
          <w:rFonts w:cstheme="minorHAnsi"/>
        </w:rPr>
      </w:pPr>
      <w:r w:rsidRPr="00133877">
        <w:rPr>
          <w:rFonts w:cstheme="minorHAnsi"/>
          <w:b/>
        </w:rPr>
        <w:t xml:space="preserve">                                                                                   </w:t>
      </w:r>
      <w:r w:rsidR="00511262" w:rsidRPr="00133877">
        <w:rPr>
          <w:rFonts w:cstheme="minorHAnsi"/>
          <w:b/>
        </w:rPr>
        <w:t xml:space="preserve">     </w:t>
      </w:r>
    </w:p>
    <w:p w14:paraId="503704B5" w14:textId="77777777" w:rsidR="00511262" w:rsidRPr="00133877" w:rsidRDefault="00511262" w:rsidP="00133877">
      <w:pPr>
        <w:ind w:left="5664"/>
        <w:rPr>
          <w:rFonts w:cstheme="minorHAnsi"/>
          <w:b/>
        </w:rPr>
      </w:pPr>
    </w:p>
    <w:p w14:paraId="456A64A3" w14:textId="77777777" w:rsidR="00DA4115" w:rsidRPr="00133877" w:rsidRDefault="00DA4115" w:rsidP="00133877">
      <w:pPr>
        <w:ind w:firstLine="851"/>
        <w:rPr>
          <w:rFonts w:cstheme="minorHAnsi"/>
          <w:b/>
        </w:rPr>
      </w:pPr>
      <w:r w:rsidRPr="00133877">
        <w:rPr>
          <w:rFonts w:cstheme="minorHAnsi"/>
        </w:rPr>
        <w:t xml:space="preserve">                    </w:t>
      </w:r>
    </w:p>
    <w:p w14:paraId="1DA3AAB7" w14:textId="77777777" w:rsidR="00DA4115" w:rsidRPr="008141AD" w:rsidRDefault="00DA4115" w:rsidP="00DA4115">
      <w:pPr>
        <w:rPr>
          <w:rFonts w:ascii="Times New Roman" w:hAnsi="Times New Roman" w:cs="Times New Roman"/>
        </w:rPr>
      </w:pPr>
    </w:p>
    <w:p w14:paraId="6248335D" w14:textId="77777777" w:rsidR="002A5AB8" w:rsidRPr="008141AD" w:rsidRDefault="002A5AB8" w:rsidP="008C6B1B">
      <w:pPr>
        <w:spacing w:after="0" w:line="240" w:lineRule="auto"/>
        <w:rPr>
          <w:rFonts w:ascii="Times New Roman" w:hAnsi="Times New Roman" w:cs="Times New Roman"/>
        </w:rPr>
      </w:pPr>
    </w:p>
    <w:sectPr w:rsidR="002A5AB8" w:rsidRPr="008141AD" w:rsidSect="00610068">
      <w:footerReference w:type="default" r:id="rId8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3DF5F" w14:textId="77777777" w:rsidR="008411B7" w:rsidRDefault="008411B7" w:rsidP="007D0747">
      <w:pPr>
        <w:spacing w:after="0" w:line="240" w:lineRule="auto"/>
      </w:pPr>
      <w:r>
        <w:separator/>
      </w:r>
    </w:p>
  </w:endnote>
  <w:endnote w:type="continuationSeparator" w:id="0">
    <w:p w14:paraId="6B6AB21C" w14:textId="77777777" w:rsidR="008411B7" w:rsidRDefault="008411B7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EF80" w14:textId="408E453C" w:rsidR="00610068" w:rsidRPr="00CD158B" w:rsidRDefault="00CD158B" w:rsidP="00CD158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drawing>
        <wp:inline distT="0" distB="0" distL="0" distR="0" wp14:anchorId="2D02EC62" wp14:editId="6433406B">
          <wp:extent cx="5385170" cy="530225"/>
          <wp:effectExtent l="0" t="0" r="635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0068">
      <w:rPr>
        <w:noProof/>
        <w:lang w:eastAsia="pl-PL"/>
      </w:rPr>
      <w:t xml:space="preserve">   </w:t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12AE" w14:textId="77777777" w:rsidR="008411B7" w:rsidRDefault="008411B7" w:rsidP="007D0747">
      <w:pPr>
        <w:spacing w:after="0" w:line="240" w:lineRule="auto"/>
      </w:pPr>
      <w:r>
        <w:separator/>
      </w:r>
    </w:p>
  </w:footnote>
  <w:footnote w:type="continuationSeparator" w:id="0">
    <w:p w14:paraId="4D12B9F6" w14:textId="77777777" w:rsidR="008411B7" w:rsidRDefault="008411B7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0F4B"/>
    <w:multiLevelType w:val="hybridMultilevel"/>
    <w:tmpl w:val="5D6ED3D6"/>
    <w:lvl w:ilvl="0" w:tplc="FE18645A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49B9"/>
    <w:multiLevelType w:val="multilevel"/>
    <w:tmpl w:val="8CAE6E70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eastAsia="Times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67F5"/>
    <w:multiLevelType w:val="hybridMultilevel"/>
    <w:tmpl w:val="3F0C217A"/>
    <w:lvl w:ilvl="0" w:tplc="FABEE726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60E52"/>
    <w:rsid w:val="00090F7C"/>
    <w:rsid w:val="000F4844"/>
    <w:rsid w:val="000F6F9E"/>
    <w:rsid w:val="00133877"/>
    <w:rsid w:val="00157310"/>
    <w:rsid w:val="00163529"/>
    <w:rsid w:val="0018417E"/>
    <w:rsid w:val="00194313"/>
    <w:rsid w:val="001C03E0"/>
    <w:rsid w:val="001F40C2"/>
    <w:rsid w:val="001F7E65"/>
    <w:rsid w:val="00262691"/>
    <w:rsid w:val="0026275C"/>
    <w:rsid w:val="002649CA"/>
    <w:rsid w:val="00272DF2"/>
    <w:rsid w:val="002736CC"/>
    <w:rsid w:val="0029714E"/>
    <w:rsid w:val="002A5AB8"/>
    <w:rsid w:val="002C26E2"/>
    <w:rsid w:val="002C3C76"/>
    <w:rsid w:val="002F1DB8"/>
    <w:rsid w:val="003424CB"/>
    <w:rsid w:val="003A0D64"/>
    <w:rsid w:val="003A6371"/>
    <w:rsid w:val="00454534"/>
    <w:rsid w:val="00462BFF"/>
    <w:rsid w:val="004B0FDD"/>
    <w:rsid w:val="004B55DA"/>
    <w:rsid w:val="004F5049"/>
    <w:rsid w:val="00501518"/>
    <w:rsid w:val="00511262"/>
    <w:rsid w:val="005274E3"/>
    <w:rsid w:val="00534798"/>
    <w:rsid w:val="0053760E"/>
    <w:rsid w:val="00556224"/>
    <w:rsid w:val="005911F7"/>
    <w:rsid w:val="005B2454"/>
    <w:rsid w:val="005C01ED"/>
    <w:rsid w:val="005C6266"/>
    <w:rsid w:val="005C6528"/>
    <w:rsid w:val="005D3D79"/>
    <w:rsid w:val="005F296E"/>
    <w:rsid w:val="006016E7"/>
    <w:rsid w:val="00610068"/>
    <w:rsid w:val="00661DEB"/>
    <w:rsid w:val="006704AB"/>
    <w:rsid w:val="0069703F"/>
    <w:rsid w:val="006B5450"/>
    <w:rsid w:val="00757B70"/>
    <w:rsid w:val="00775C59"/>
    <w:rsid w:val="0079548F"/>
    <w:rsid w:val="007A1D6D"/>
    <w:rsid w:val="007A6A70"/>
    <w:rsid w:val="007B7CED"/>
    <w:rsid w:val="007D0747"/>
    <w:rsid w:val="007D316A"/>
    <w:rsid w:val="0080114C"/>
    <w:rsid w:val="008036E3"/>
    <w:rsid w:val="0080692F"/>
    <w:rsid w:val="008141AD"/>
    <w:rsid w:val="0082728E"/>
    <w:rsid w:val="008411B7"/>
    <w:rsid w:val="00845949"/>
    <w:rsid w:val="008554AC"/>
    <w:rsid w:val="00882E8F"/>
    <w:rsid w:val="008B52A6"/>
    <w:rsid w:val="008C6B1B"/>
    <w:rsid w:val="00917E6F"/>
    <w:rsid w:val="009443AE"/>
    <w:rsid w:val="009778D3"/>
    <w:rsid w:val="009F167C"/>
    <w:rsid w:val="00A024A4"/>
    <w:rsid w:val="00A136DE"/>
    <w:rsid w:val="00A60B15"/>
    <w:rsid w:val="00A9184A"/>
    <w:rsid w:val="00AC07AE"/>
    <w:rsid w:val="00AC17A2"/>
    <w:rsid w:val="00AE0D84"/>
    <w:rsid w:val="00AE7B8B"/>
    <w:rsid w:val="00B22AD4"/>
    <w:rsid w:val="00B41161"/>
    <w:rsid w:val="00B54F97"/>
    <w:rsid w:val="00B95577"/>
    <w:rsid w:val="00BA226A"/>
    <w:rsid w:val="00BB7CD7"/>
    <w:rsid w:val="00BC50D9"/>
    <w:rsid w:val="00C25170"/>
    <w:rsid w:val="00C4778E"/>
    <w:rsid w:val="00CD158B"/>
    <w:rsid w:val="00CF03AC"/>
    <w:rsid w:val="00D52675"/>
    <w:rsid w:val="00D534BA"/>
    <w:rsid w:val="00DA4115"/>
    <w:rsid w:val="00DB124A"/>
    <w:rsid w:val="00DC3B57"/>
    <w:rsid w:val="00DF4A6C"/>
    <w:rsid w:val="00E42F90"/>
    <w:rsid w:val="00EC339F"/>
    <w:rsid w:val="00ED7547"/>
    <w:rsid w:val="00EE1D67"/>
    <w:rsid w:val="00EE7D81"/>
    <w:rsid w:val="00F65542"/>
    <w:rsid w:val="00F95CDA"/>
    <w:rsid w:val="00FC6BF5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uiPriority w:val="34"/>
    <w:qFormat/>
    <w:locked/>
    <w:rsid w:val="00FE4A03"/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53156-6494-47F5-948D-AC4A2D06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Malinowska</cp:lastModifiedBy>
  <cp:revision>5</cp:revision>
  <cp:lastPrinted>2025-04-16T10:28:00Z</cp:lastPrinted>
  <dcterms:created xsi:type="dcterms:W3CDTF">2025-04-15T11:09:00Z</dcterms:created>
  <dcterms:modified xsi:type="dcterms:W3CDTF">2025-04-16T10:31:00Z</dcterms:modified>
</cp:coreProperties>
</file>