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E95E8" w14:textId="07108C38" w:rsidR="00FD0851" w:rsidRPr="00D4716C" w:rsidRDefault="00FD0851" w:rsidP="00B95F25">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r w:rsidRPr="00D4716C">
        <w:rPr>
          <w:rFonts w:ascii="Calibri" w:eastAsia="Times New Roman" w:hAnsi="Calibri" w:cs="Calibri"/>
          <w:b/>
          <w:color w:val="0D0D0D" w:themeColor="text1" w:themeTint="F2"/>
          <w:sz w:val="30"/>
          <w:szCs w:val="30"/>
          <w:lang w:eastAsia="ar-SA"/>
        </w:rPr>
        <w:t>UMOWA</w:t>
      </w:r>
    </w:p>
    <w:p w14:paraId="359D0191" w14:textId="26F97810" w:rsidR="00C22813" w:rsidRPr="00D4716C" w:rsidRDefault="00C22813" w:rsidP="002649BF">
      <w:pPr>
        <w:spacing w:after="12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r w:rsidR="003516F0">
        <w:rPr>
          <w:rFonts w:cstheme="minorHAnsi"/>
          <w:color w:val="0D0D0D" w:themeColor="text1" w:themeTint="F2"/>
          <w:lang w:val="x-none"/>
        </w:rPr>
        <w:t xml:space="preserve">……………… </w:t>
      </w:r>
      <w:r w:rsidRPr="00D4716C">
        <w:rPr>
          <w:rFonts w:cstheme="minorHAnsi"/>
          <w:color w:val="0D0D0D" w:themeColor="text1" w:themeTint="F2"/>
          <w:lang w:val="x-none"/>
        </w:rPr>
        <w:t>w wyniku przeprowadzonego postępowania o udzie</w:t>
      </w:r>
      <w:r w:rsidR="00B0142E" w:rsidRPr="00D4716C">
        <w:rPr>
          <w:rFonts w:cstheme="minorHAnsi"/>
          <w:color w:val="0D0D0D" w:themeColor="text1" w:themeTint="F2"/>
          <w:lang w:val="x-none"/>
        </w:rPr>
        <w:t>lenie zamówienia publicznego, w</w:t>
      </w:r>
      <w:r w:rsidR="00B0142E" w:rsidRPr="00D4716C">
        <w:rPr>
          <w:rFonts w:cstheme="minorHAnsi"/>
          <w:color w:val="0D0D0D" w:themeColor="text1" w:themeTint="F2"/>
        </w:rPr>
        <w:t> </w:t>
      </w:r>
      <w:r w:rsidRPr="00D4716C">
        <w:rPr>
          <w:rFonts w:cstheme="minorHAnsi"/>
          <w:color w:val="0D0D0D" w:themeColor="text1" w:themeTint="F2"/>
          <w:lang w:val="x-none"/>
        </w:rPr>
        <w:t>trybie przetargu nieograniczonego, o którym stanowi art. 132 ustawy z dnia 11 września 2019 r. Prawo zamówień publicznych (</w:t>
      </w:r>
      <w:r w:rsidR="00136F22" w:rsidRPr="00F51BF2">
        <w:rPr>
          <w:rFonts w:cstheme="minorHAnsi"/>
          <w:bCs/>
          <w:color w:val="0D0D0D"/>
        </w:rPr>
        <w:t>Dz. U. z 202</w:t>
      </w:r>
      <w:r w:rsidR="007A2EB6">
        <w:rPr>
          <w:rFonts w:cstheme="minorHAnsi"/>
          <w:bCs/>
          <w:color w:val="0D0D0D"/>
        </w:rPr>
        <w:t>4</w:t>
      </w:r>
      <w:r w:rsidR="00136F22" w:rsidRPr="00F51BF2">
        <w:rPr>
          <w:rFonts w:cstheme="minorHAnsi"/>
          <w:bCs/>
          <w:color w:val="0D0D0D"/>
        </w:rPr>
        <w:t xml:space="preserve"> poz. </w:t>
      </w:r>
      <w:r w:rsidR="007A2EB6">
        <w:rPr>
          <w:rFonts w:cstheme="minorHAnsi"/>
          <w:bCs/>
          <w:color w:val="0D0D0D"/>
        </w:rPr>
        <w:t>1320</w:t>
      </w:r>
      <w:r w:rsidR="00136F22" w:rsidRPr="00F51BF2">
        <w:rPr>
          <w:rFonts w:cstheme="minorHAnsi"/>
          <w:bCs/>
          <w:color w:val="0D0D0D"/>
        </w:rPr>
        <w:t xml:space="preserve"> ze zm</w:t>
      </w:r>
      <w:r w:rsidRPr="00D4716C">
        <w:rPr>
          <w:rFonts w:cstheme="minorHAnsi"/>
          <w:color w:val="0D0D0D" w:themeColor="text1" w:themeTint="F2"/>
          <w:lang w:val="x-none"/>
        </w:rPr>
        <w:t xml:space="preserve">.) – zwana dalej ustawą PZP, </w:t>
      </w:r>
      <w:r w:rsidR="00642712" w:rsidRPr="00145C12">
        <w:rPr>
          <w:rFonts w:cstheme="minorHAnsi"/>
          <w:color w:val="0D0D0D" w:themeColor="text1" w:themeTint="F2"/>
          <w:lang w:val="x-none"/>
        </w:rPr>
        <w:t xml:space="preserve">o </w:t>
      </w:r>
      <w:r w:rsidR="006E6185" w:rsidRPr="006E6185">
        <w:rPr>
          <w:rFonts w:cstheme="minorHAnsi"/>
          <w:color w:val="0D0D0D" w:themeColor="text1" w:themeTint="F2"/>
          <w:lang w:val="x-none"/>
        </w:rPr>
        <w:t>wartości zamówienia przekraczającej progi unijne, o których mowa w art. 3 ustawy PZP</w:t>
      </w:r>
      <w:r w:rsidR="007A2EB6" w:rsidRPr="0071466F">
        <w:rPr>
          <w:rFonts w:cstheme="minorHAnsi"/>
          <w:lang w:val="x-none"/>
        </w:rPr>
        <w:t>,</w:t>
      </w:r>
      <w:r w:rsidR="00642712" w:rsidRPr="000B7FC9">
        <w:rPr>
          <w:rFonts w:cstheme="minorHAnsi"/>
          <w:color w:val="0D0D0D" w:themeColor="text1" w:themeTint="F2"/>
          <w:lang w:val="x-none"/>
        </w:rPr>
        <w:t xml:space="preserve"> nr postępowania</w:t>
      </w:r>
      <w:r w:rsidR="00B37192">
        <w:rPr>
          <w:rFonts w:cstheme="minorHAnsi"/>
          <w:color w:val="0D0D0D" w:themeColor="text1" w:themeTint="F2"/>
          <w:lang w:val="x-none"/>
        </w:rPr>
        <w:t xml:space="preserve"> 24/U/25</w:t>
      </w:r>
      <w:r w:rsidR="003516F0">
        <w:rPr>
          <w:rFonts w:cstheme="minorHAnsi"/>
          <w:color w:val="0D0D0D" w:themeColor="text1" w:themeTint="F2"/>
          <w:lang w:val="x-none"/>
        </w:rPr>
        <w:t xml:space="preserve"> </w:t>
      </w:r>
      <w:r w:rsidR="008F5432" w:rsidRPr="00D4716C">
        <w:rPr>
          <w:rFonts w:cstheme="minorHAnsi"/>
          <w:color w:val="0D0D0D" w:themeColor="text1" w:themeTint="F2"/>
          <w:lang w:val="x-none"/>
        </w:rPr>
        <w:t xml:space="preserve">została zawarta </w:t>
      </w:r>
      <w:r w:rsidR="008F5432" w:rsidRPr="00D4716C">
        <w:rPr>
          <w:rFonts w:cstheme="minorHAnsi"/>
          <w:color w:val="0D0D0D" w:themeColor="text1" w:themeTint="F2"/>
        </w:rPr>
        <w:t>U</w:t>
      </w:r>
      <w:r w:rsidRPr="00D4716C">
        <w:rPr>
          <w:rFonts w:cstheme="minorHAnsi"/>
          <w:color w:val="0D0D0D" w:themeColor="text1" w:themeTint="F2"/>
          <w:lang w:val="x-none"/>
        </w:rPr>
        <w:t>mowa pomiędzy:</w:t>
      </w:r>
    </w:p>
    <w:p w14:paraId="4FE0D51E" w14:textId="77777777" w:rsidR="009F7814" w:rsidRPr="00D4716C" w:rsidRDefault="009F7814" w:rsidP="002649BF">
      <w:pPr>
        <w:spacing w:after="120" w:line="271" w:lineRule="auto"/>
        <w:ind w:right="-1"/>
        <w:rPr>
          <w:rFonts w:cstheme="minorHAnsi"/>
          <w:b/>
          <w:color w:val="0D0D0D" w:themeColor="text1" w:themeTint="F2"/>
        </w:rPr>
      </w:pPr>
      <w:r w:rsidRPr="00D4716C">
        <w:rPr>
          <w:rFonts w:cstheme="minorHAnsi"/>
          <w:b/>
          <w:color w:val="0D0D0D" w:themeColor="text1" w:themeTint="F2"/>
        </w:rPr>
        <w:t>Zamawiającym:</w:t>
      </w:r>
    </w:p>
    <w:p w14:paraId="08A5D94E" w14:textId="77777777" w:rsidR="003516F0" w:rsidRDefault="003516F0" w:rsidP="003516F0">
      <w:pPr>
        <w:spacing w:before="240" w:after="120" w:line="271" w:lineRule="auto"/>
        <w:jc w:val="both"/>
        <w:rPr>
          <w:rFonts w:ascii="Calibri" w:eastAsia="Times New Roman" w:hAnsi="Calibri" w:cs="Calibri"/>
          <w:b/>
          <w:bCs/>
          <w:iCs/>
          <w:color w:val="0D0D0D" w:themeColor="text1" w:themeTint="F2"/>
          <w:lang w:eastAsia="ar-SA"/>
        </w:rPr>
      </w:pPr>
      <w:r w:rsidRPr="003516F0">
        <w:rPr>
          <w:rFonts w:ascii="Calibri" w:eastAsia="Times New Roman" w:hAnsi="Calibri" w:cs="Calibri"/>
          <w:b/>
          <w:bCs/>
          <w:iCs/>
          <w:color w:val="0D0D0D" w:themeColor="text1" w:themeTint="F2"/>
          <w:lang w:eastAsia="ar-SA"/>
        </w:rPr>
        <w:t xml:space="preserve">Samodzielnym Publicznym Zakładem Opieki Zdrowotnej Ministerstwa Spraw Wewnętrznych </w:t>
      </w:r>
      <w:r>
        <w:rPr>
          <w:rFonts w:ascii="Calibri" w:eastAsia="Times New Roman" w:hAnsi="Calibri" w:cs="Calibri"/>
          <w:b/>
          <w:bCs/>
          <w:iCs/>
          <w:color w:val="0D0D0D" w:themeColor="text1" w:themeTint="F2"/>
          <w:lang w:eastAsia="ar-SA"/>
        </w:rPr>
        <w:br/>
      </w:r>
      <w:r w:rsidRPr="003516F0">
        <w:rPr>
          <w:rFonts w:ascii="Calibri" w:eastAsia="Times New Roman" w:hAnsi="Calibri" w:cs="Calibri"/>
          <w:b/>
          <w:bCs/>
          <w:iCs/>
          <w:color w:val="0D0D0D" w:themeColor="text1" w:themeTint="F2"/>
          <w:lang w:eastAsia="ar-SA"/>
        </w:rPr>
        <w:t xml:space="preserve">i Administracji w Łodzi, </w:t>
      </w:r>
      <w:r w:rsidRPr="003516F0">
        <w:rPr>
          <w:rFonts w:ascii="Calibri" w:eastAsia="Times New Roman" w:hAnsi="Calibri" w:cs="Calibri"/>
          <w:iCs/>
          <w:color w:val="0D0D0D" w:themeColor="text1" w:themeTint="F2"/>
          <w:lang w:eastAsia="ar-SA"/>
        </w:rPr>
        <w:t>z siedzibą w Łodzi (kod pocztowy 91-425) przy ul. Północnej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NIP: 726-00-04-820, REGON:470805076</w:t>
      </w:r>
      <w:r w:rsidRPr="003516F0">
        <w:rPr>
          <w:rFonts w:ascii="Calibri" w:eastAsia="Times New Roman" w:hAnsi="Calibri" w:cs="Calibri"/>
          <w:b/>
          <w:bCs/>
          <w:iCs/>
          <w:color w:val="0D0D0D" w:themeColor="text1" w:themeTint="F2"/>
          <w:lang w:eastAsia="ar-SA"/>
        </w:rPr>
        <w:t xml:space="preserve">,  </w:t>
      </w:r>
    </w:p>
    <w:p w14:paraId="5C7EC276" w14:textId="6AE25A0F" w:rsidR="00E42474" w:rsidRDefault="00E42474" w:rsidP="003516F0">
      <w:pPr>
        <w:spacing w:before="240" w:after="12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B95F25" w:rsidRPr="00D4716C" w14:paraId="4E50EBA6" w14:textId="77777777" w:rsidTr="003516F0">
        <w:tc>
          <w:tcPr>
            <w:tcW w:w="9062" w:type="dxa"/>
          </w:tcPr>
          <w:p w14:paraId="00AB7FC2" w14:textId="116D25A9" w:rsidR="00B95F25" w:rsidRPr="00D4716C" w:rsidRDefault="00B95F25" w:rsidP="002649BF">
            <w:pPr>
              <w:spacing w:after="120" w:line="271" w:lineRule="auto"/>
              <w:rPr>
                <w:rFonts w:cstheme="minorHAnsi"/>
                <w:smallCaps/>
                <w:color w:val="0D0D0D" w:themeColor="text1" w:themeTint="F2"/>
              </w:rPr>
            </w:pPr>
          </w:p>
        </w:tc>
      </w:tr>
    </w:tbl>
    <w:p w14:paraId="29F93ECA" w14:textId="517B424E" w:rsidR="008E6167" w:rsidRDefault="008E6167" w:rsidP="002649BF">
      <w:pPr>
        <w:spacing w:after="120" w:line="271" w:lineRule="auto"/>
        <w:rPr>
          <w:rFonts w:cstheme="minorHAnsi"/>
          <w:smallCaps/>
          <w:color w:val="0D0D0D" w:themeColor="text1" w:themeTint="F2"/>
        </w:rPr>
      </w:pPr>
    </w:p>
    <w:p w14:paraId="3C660F59" w14:textId="26A1521A" w:rsidR="00830742" w:rsidRPr="00830742" w:rsidRDefault="00830742" w:rsidP="002649BF">
      <w:pPr>
        <w:spacing w:after="120" w:line="271" w:lineRule="auto"/>
        <w:rPr>
          <w:rFonts w:cstheme="minorHAnsi"/>
          <w:b/>
          <w:bCs/>
          <w:color w:val="0D0D0D" w:themeColor="text1" w:themeTint="F2"/>
        </w:rPr>
      </w:pPr>
      <w:r w:rsidRPr="00830742">
        <w:rPr>
          <w:rFonts w:cstheme="minorHAnsi"/>
          <w:b/>
          <w:bCs/>
          <w:color w:val="0D0D0D" w:themeColor="text1" w:themeTint="F2"/>
        </w:rPr>
        <w:t>a</w:t>
      </w:r>
    </w:p>
    <w:p w14:paraId="0EF35FD9" w14:textId="77777777" w:rsidR="009F7814" w:rsidRPr="00D4716C" w:rsidRDefault="009F7814" w:rsidP="002649BF">
      <w:pPr>
        <w:spacing w:after="120" w:line="271" w:lineRule="auto"/>
        <w:rPr>
          <w:rFonts w:cstheme="minorHAnsi"/>
          <w:b/>
          <w:bCs/>
          <w:color w:val="0D0D0D" w:themeColor="text1" w:themeTint="F2"/>
        </w:rPr>
      </w:pPr>
      <w:r w:rsidRPr="00D4716C">
        <w:rPr>
          <w:rFonts w:cstheme="minorHAnsi"/>
          <w:b/>
          <w:bCs/>
          <w:color w:val="0D0D0D" w:themeColor="text1" w:themeTint="F2"/>
        </w:rPr>
        <w:t>Wykonawcą:</w:t>
      </w:r>
    </w:p>
    <w:tbl>
      <w:tblPr>
        <w:tblStyle w:val="Tabela-Siatka"/>
        <w:tblW w:w="0" w:type="auto"/>
        <w:tblLook w:val="04A0" w:firstRow="1" w:lastRow="0" w:firstColumn="1" w:lastColumn="0" w:noHBand="0" w:noVBand="1"/>
      </w:tblPr>
      <w:tblGrid>
        <w:gridCol w:w="9062"/>
      </w:tblGrid>
      <w:tr w:rsidR="00D4716C" w:rsidRPr="00D4716C" w14:paraId="0098982E" w14:textId="77777777" w:rsidTr="00B95F25">
        <w:tc>
          <w:tcPr>
            <w:tcW w:w="9212" w:type="dxa"/>
          </w:tcPr>
          <w:p w14:paraId="497AA1A8" w14:textId="188146E6" w:rsidR="00B95F25" w:rsidRPr="00D4716C" w:rsidRDefault="00246634" w:rsidP="002649BF">
            <w:pPr>
              <w:spacing w:after="120" w:line="271" w:lineRule="auto"/>
              <w:jc w:val="both"/>
              <w:rPr>
                <w:rFonts w:cstheme="minorHAnsi"/>
                <w:bCs/>
                <w:color w:val="0D0D0D" w:themeColor="text1" w:themeTint="F2"/>
              </w:rPr>
            </w:pPr>
            <w:r w:rsidRPr="00D4716C">
              <w:rPr>
                <w:rFonts w:cstheme="minorHAnsi"/>
                <w:color w:val="0D0D0D" w:themeColor="text1" w:themeTint="F2"/>
              </w:rPr>
              <w:t>z siedzibą w</w:t>
            </w:r>
            <w:r w:rsidRPr="00D4716C">
              <w:rPr>
                <w:rFonts w:cstheme="minorHAnsi"/>
                <w:bCs/>
                <w:color w:val="0D0D0D" w:themeColor="text1" w:themeTint="F2"/>
              </w:rPr>
              <w:t>.</w:t>
            </w:r>
            <w:r w:rsidRPr="00D4716C">
              <w:rPr>
                <w:rFonts w:cstheme="minorHAnsi"/>
                <w:color w:val="0D0D0D" w:themeColor="text1" w:themeTint="F2"/>
              </w:rPr>
              <w:t>,</w:t>
            </w:r>
            <w:r w:rsidRPr="00D4716C">
              <w:rPr>
                <w:rFonts w:cstheme="minorHAnsi"/>
                <w:bCs/>
                <w:color w:val="0D0D0D" w:themeColor="text1" w:themeTint="F2"/>
              </w:rPr>
              <w:t xml:space="preserve"> </w:t>
            </w:r>
            <w:r w:rsidRPr="00D4716C">
              <w:rPr>
                <w:rFonts w:cstheme="minorHAnsi"/>
                <w:color w:val="0D0D0D" w:themeColor="text1" w:themeTint="F2"/>
              </w:rPr>
              <w:t xml:space="preserve">wpisanym do Rejestru Przedsiębiorców prowadzonego przez Sąd Rejonowy dla  KRS, wysokość kapitału zakładowego złotych, posiadającym </w:t>
            </w:r>
            <w:r w:rsidR="007A2EB6">
              <w:rPr>
                <w:rFonts w:cstheme="minorHAnsi"/>
                <w:color w:val="0D0D0D" w:themeColor="text1" w:themeTint="F2"/>
              </w:rPr>
              <w:t xml:space="preserve">nr </w:t>
            </w:r>
            <w:r w:rsidRPr="00D4716C">
              <w:rPr>
                <w:rFonts w:cstheme="minorHAnsi"/>
                <w:color w:val="0D0D0D" w:themeColor="text1" w:themeTint="F2"/>
              </w:rPr>
              <w:t>NIP</w:t>
            </w:r>
            <w:r w:rsidR="007A2EB6">
              <w:rPr>
                <w:rFonts w:cstheme="minorHAnsi"/>
                <w:color w:val="0D0D0D" w:themeColor="text1" w:themeTint="F2"/>
              </w:rPr>
              <w:t xml:space="preserve"> oraz REGON</w:t>
            </w:r>
            <w:r w:rsidRPr="00D4716C">
              <w:rPr>
                <w:rFonts w:cstheme="minorHAnsi"/>
                <w:color w:val="0D0D0D" w:themeColor="text1" w:themeTint="F2"/>
              </w:rPr>
              <w:t>,</w:t>
            </w:r>
          </w:p>
        </w:tc>
      </w:tr>
    </w:tbl>
    <w:p w14:paraId="7EB218FA" w14:textId="7E20AEE8" w:rsidR="009F7814" w:rsidRPr="00D4716C" w:rsidRDefault="009F7814" w:rsidP="002649BF">
      <w:pPr>
        <w:spacing w:after="12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D4716C" w14:paraId="6EABA497" w14:textId="77777777" w:rsidTr="00B95F25">
        <w:tc>
          <w:tcPr>
            <w:tcW w:w="9212" w:type="dxa"/>
          </w:tcPr>
          <w:p w14:paraId="0E625D8D" w14:textId="5C9D1B0C" w:rsidR="00B95F25" w:rsidRPr="00D4716C" w:rsidRDefault="00B95F25" w:rsidP="002649BF">
            <w:pPr>
              <w:spacing w:after="120" w:line="271" w:lineRule="auto"/>
              <w:rPr>
                <w:rFonts w:cstheme="minorHAnsi"/>
                <w:smallCaps/>
                <w:color w:val="0D0D0D" w:themeColor="text1" w:themeTint="F2"/>
              </w:rPr>
            </w:pPr>
          </w:p>
        </w:tc>
      </w:tr>
    </w:tbl>
    <w:p w14:paraId="1418CC28" w14:textId="77777777" w:rsidR="009F7814" w:rsidRPr="00D4716C" w:rsidRDefault="009F7814" w:rsidP="002649BF">
      <w:pPr>
        <w:spacing w:after="120" w:line="271" w:lineRule="auto"/>
        <w:rPr>
          <w:rFonts w:cstheme="minorHAnsi"/>
          <w:color w:val="0D0D0D" w:themeColor="text1" w:themeTint="F2"/>
        </w:rPr>
      </w:pPr>
      <w:r w:rsidRPr="00D4716C">
        <w:rPr>
          <w:rFonts w:cstheme="minorHAnsi"/>
          <w:color w:val="0D0D0D" w:themeColor="text1" w:themeTint="F2"/>
        </w:rPr>
        <w:t>zwanymi dalej łącznie „Stronami”, a każda z nich z osobna „Stroną”,</w:t>
      </w:r>
    </w:p>
    <w:p w14:paraId="2807ECDA" w14:textId="12238C0E" w:rsidR="00181C69" w:rsidRPr="00D4716C" w:rsidRDefault="009F7814" w:rsidP="002649BF">
      <w:pPr>
        <w:tabs>
          <w:tab w:val="left" w:pos="2460"/>
        </w:tabs>
        <w:spacing w:after="120" w:line="271" w:lineRule="auto"/>
        <w:rPr>
          <w:rFonts w:cstheme="minorHAnsi"/>
          <w:color w:val="0D0D0D" w:themeColor="text1" w:themeTint="F2"/>
        </w:rPr>
      </w:pPr>
      <w:r w:rsidRPr="00D4716C">
        <w:rPr>
          <w:rFonts w:cstheme="minorHAnsi"/>
          <w:color w:val="0D0D0D" w:themeColor="text1" w:themeTint="F2"/>
        </w:rPr>
        <w:t>o następującej treści:</w:t>
      </w:r>
      <w:r w:rsidRPr="00D4716C">
        <w:rPr>
          <w:rFonts w:cstheme="minorHAnsi"/>
          <w:color w:val="0D0D0D" w:themeColor="text1" w:themeTint="F2"/>
        </w:rPr>
        <w:tab/>
      </w:r>
    </w:p>
    <w:p w14:paraId="020A65FA" w14:textId="77777777" w:rsidR="009F7814" w:rsidRPr="00D4716C" w:rsidRDefault="009F7814" w:rsidP="002649BF">
      <w:pPr>
        <w:pStyle w:val="Tekstpodstawowywcity"/>
        <w:spacing w:line="271" w:lineRule="auto"/>
        <w:ind w:left="426" w:hanging="426"/>
        <w:jc w:val="center"/>
        <w:rPr>
          <w:rFonts w:cstheme="minorHAnsi"/>
          <w:b/>
          <w:color w:val="0D0D0D" w:themeColor="text1" w:themeTint="F2"/>
        </w:rPr>
      </w:pPr>
      <w:r w:rsidRPr="00D4716C">
        <w:rPr>
          <w:rFonts w:cstheme="minorHAnsi"/>
          <w:b/>
          <w:color w:val="0D0D0D" w:themeColor="text1" w:themeTint="F2"/>
        </w:rPr>
        <w:t>§ 1.</w:t>
      </w:r>
    </w:p>
    <w:p w14:paraId="63F6CFAE" w14:textId="77777777" w:rsidR="009F7814" w:rsidRPr="00D4716C" w:rsidRDefault="009F7814" w:rsidP="002649BF">
      <w:pPr>
        <w:pStyle w:val="Tekstpodstawowywcity"/>
        <w:spacing w:line="271" w:lineRule="auto"/>
        <w:ind w:left="426" w:hanging="426"/>
        <w:jc w:val="center"/>
        <w:rPr>
          <w:rFonts w:cstheme="minorHAnsi"/>
          <w:b/>
          <w:color w:val="0D0D0D" w:themeColor="text1" w:themeTint="F2"/>
        </w:rPr>
      </w:pPr>
      <w:r w:rsidRPr="00D4716C">
        <w:rPr>
          <w:rFonts w:cstheme="minorHAnsi"/>
          <w:b/>
          <w:color w:val="0D0D0D" w:themeColor="text1" w:themeTint="F2"/>
        </w:rPr>
        <w:t>Przedmiot i zakres Umowy</w:t>
      </w:r>
    </w:p>
    <w:p w14:paraId="0E8A3855" w14:textId="60E903FE" w:rsidR="009F7814" w:rsidRPr="003516F0" w:rsidRDefault="009F7814" w:rsidP="003516F0">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3516F0">
        <w:rPr>
          <w:rFonts w:cstheme="minorHAnsi"/>
          <w:color w:val="0D0D0D" w:themeColor="text1" w:themeTint="F2"/>
        </w:rPr>
        <w:t>Przedmiotem Umowy jest świadczenie przez Wykonawcę usługi polegającej na ubezpiecz</w:t>
      </w:r>
      <w:r w:rsidR="008E6167" w:rsidRPr="003516F0">
        <w:rPr>
          <w:rFonts w:cstheme="minorHAnsi"/>
          <w:color w:val="0D0D0D" w:themeColor="text1" w:themeTint="F2"/>
        </w:rPr>
        <w:t xml:space="preserve">eniu </w:t>
      </w:r>
      <w:r w:rsidR="003516F0" w:rsidRPr="003516F0">
        <w:rPr>
          <w:rFonts w:cstheme="minorHAnsi"/>
          <w:b/>
          <w:bCs/>
          <w:color w:val="0D0D0D" w:themeColor="text1" w:themeTint="F2"/>
        </w:rPr>
        <w:t xml:space="preserve">Samodzielnego Publicznego Zakładu Opieki Zdrowotnej Ministerstwa Spraw Wewnętrznych </w:t>
      </w:r>
      <w:r w:rsidR="003516F0">
        <w:rPr>
          <w:rFonts w:cstheme="minorHAnsi"/>
          <w:b/>
          <w:bCs/>
          <w:color w:val="0D0D0D" w:themeColor="text1" w:themeTint="F2"/>
        </w:rPr>
        <w:br/>
      </w:r>
      <w:r w:rsidR="003516F0" w:rsidRPr="003516F0">
        <w:rPr>
          <w:rFonts w:cstheme="minorHAnsi"/>
          <w:b/>
          <w:bCs/>
          <w:color w:val="0D0D0D" w:themeColor="text1" w:themeTint="F2"/>
        </w:rPr>
        <w:t>i Administracji w Łodzi</w:t>
      </w:r>
      <w:r w:rsidR="003516F0" w:rsidRPr="003516F0">
        <w:rPr>
          <w:rFonts w:cstheme="minorHAnsi"/>
          <w:color w:val="0D0D0D" w:themeColor="text1" w:themeTint="F2"/>
        </w:rPr>
        <w:t xml:space="preserve"> </w:t>
      </w:r>
      <w:r w:rsidR="008E6167" w:rsidRPr="003516F0">
        <w:rPr>
          <w:rFonts w:cstheme="minorHAnsi"/>
          <w:color w:val="0D0D0D" w:themeColor="text1" w:themeTint="F2"/>
        </w:rPr>
        <w:t xml:space="preserve">w zakresie </w:t>
      </w:r>
      <w:r w:rsidR="008E6167" w:rsidRPr="003516F0">
        <w:rPr>
          <w:rFonts w:cstheme="minorHAnsi"/>
          <w:b/>
          <w:bCs/>
          <w:color w:val="0D0D0D" w:themeColor="text1" w:themeTint="F2"/>
        </w:rPr>
        <w:t xml:space="preserve">ubezpieczeń </w:t>
      </w:r>
      <w:r w:rsidR="00D62EE1" w:rsidRPr="003516F0">
        <w:rPr>
          <w:rFonts w:cstheme="minorHAnsi"/>
          <w:b/>
          <w:bCs/>
          <w:color w:val="0D0D0D" w:themeColor="text1" w:themeTint="F2"/>
        </w:rPr>
        <w:t>komunikacyjnych</w:t>
      </w:r>
      <w:r w:rsidR="00ED166C" w:rsidRPr="003516F0">
        <w:rPr>
          <w:rFonts w:cstheme="minorHAnsi"/>
          <w:color w:val="0D0D0D" w:themeColor="text1" w:themeTint="F2"/>
        </w:rPr>
        <w:t>.</w:t>
      </w:r>
    </w:p>
    <w:p w14:paraId="679FD17E" w14:textId="515F917B" w:rsidR="009F7814"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Zakres odpowiedzialności Wykonawcy, przedmiot ubezpieczenia i inne warunki umowy ubezpieczenia zostały określone w Specyfikacji Waru</w:t>
      </w:r>
      <w:r w:rsidR="00C22813" w:rsidRPr="00D4716C">
        <w:rPr>
          <w:rFonts w:cstheme="minorHAnsi"/>
          <w:color w:val="0D0D0D" w:themeColor="text1" w:themeTint="F2"/>
        </w:rPr>
        <w:t>nków Zamówienia (zwanej dalej S</w:t>
      </w:r>
      <w:r w:rsidR="00B0142E" w:rsidRPr="00D4716C">
        <w:rPr>
          <w:rFonts w:cstheme="minorHAnsi"/>
          <w:color w:val="0D0D0D" w:themeColor="text1" w:themeTint="F2"/>
        </w:rPr>
        <w:t>WZ) i </w:t>
      </w:r>
      <w:r w:rsidRPr="00D4716C">
        <w:rPr>
          <w:rFonts w:cstheme="minorHAnsi"/>
          <w:color w:val="0D0D0D" w:themeColor="text1" w:themeTint="F2"/>
        </w:rPr>
        <w:t>złożonym przez Wykonawcę Formularzu ofertowym (zwanym dalej Ofertą Wykonawcy), które stanowią integralną część Umowy.</w:t>
      </w:r>
    </w:p>
    <w:p w14:paraId="7934CCF3" w14:textId="42317C9B" w:rsidR="009F7814"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Wykonawca zobowiązuje się wykonywać przedmiot Umowy zgodnie z warunkami określonym</w:t>
      </w:r>
      <w:r w:rsidR="00B0142E" w:rsidRPr="00D4716C">
        <w:rPr>
          <w:rFonts w:cstheme="minorHAnsi"/>
          <w:color w:val="0D0D0D" w:themeColor="text1" w:themeTint="F2"/>
        </w:rPr>
        <w:t>i w </w:t>
      </w:r>
      <w:r w:rsidR="009B3AFA" w:rsidRPr="00D4716C">
        <w:rPr>
          <w:rFonts w:cstheme="minorHAnsi"/>
          <w:color w:val="0D0D0D" w:themeColor="text1" w:themeTint="F2"/>
        </w:rPr>
        <w:t>S</w:t>
      </w:r>
      <w:r w:rsidRPr="00D4716C">
        <w:rPr>
          <w:rFonts w:cstheme="minorHAnsi"/>
          <w:color w:val="0D0D0D" w:themeColor="text1" w:themeTint="F2"/>
        </w:rPr>
        <w:t>WZ oraz Ofercie Wykonawcy.</w:t>
      </w:r>
    </w:p>
    <w:p w14:paraId="7F860EFC" w14:textId="544FD8E1" w:rsidR="00921209" w:rsidRPr="00820C41" w:rsidRDefault="00921209"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820C41">
        <w:rPr>
          <w:rFonts w:cstheme="minorHAnsi"/>
          <w:color w:val="0D0D0D" w:themeColor="text1" w:themeTint="F2"/>
        </w:rPr>
        <w:t xml:space="preserve">Wykonawca oświadcza, iż jest mu znany, w momencie zawierania umowy ubezpieczenia, stan zabezpieczeń przeciwkradzieżowych </w:t>
      </w:r>
      <w:r w:rsidR="00820C41" w:rsidRPr="00820C41">
        <w:rPr>
          <w:rFonts w:cstheme="minorHAnsi"/>
          <w:color w:val="0D0D0D" w:themeColor="text1" w:themeTint="F2"/>
        </w:rPr>
        <w:t>pojazdów</w:t>
      </w:r>
      <w:r w:rsidRPr="00820C41">
        <w:rPr>
          <w:rFonts w:cstheme="minorHAnsi"/>
          <w:color w:val="0D0D0D" w:themeColor="text1" w:themeTint="F2"/>
        </w:rPr>
        <w:t xml:space="preserve">, uznaje je za wystarczające i nie będzie powoływał </w:t>
      </w:r>
      <w:r w:rsidRPr="00820C41">
        <w:rPr>
          <w:rFonts w:cstheme="minorHAnsi"/>
          <w:color w:val="0D0D0D" w:themeColor="text1" w:themeTint="F2"/>
        </w:rPr>
        <w:lastRenderedPageBreak/>
        <w:t>się na zapisy OWU dotyczące minimalnych wymogów dotyczących zabezpieczeń, o ile stan ten w momencie powstania szkody nie ulegnie pogorszeniu w stosunku do opisanego w materiałach przekazanych Wykonawcy w dokumentacji przetargowej.</w:t>
      </w:r>
    </w:p>
    <w:p w14:paraId="14BC8328" w14:textId="77777777" w:rsidR="00820C41" w:rsidRPr="00820C41" w:rsidRDefault="00820C41"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820C41">
        <w:rPr>
          <w:rFonts w:cstheme="minorHAnsi"/>
          <w:color w:val="0D0D0D" w:themeColor="text1" w:themeTint="F2"/>
        </w:rPr>
        <w:t>Dla pojazdów, w posiadanie których Zamawiający wejdzie w trakcie terminu realizacji Umowy, Wykonawca nie będzie wymagał więcej niż jednego zabezpieczenia przeciwkradzieżowego (typu immobiliser w tym fabryczny, autoalarm, inne), jak również nie będzie uzależniał zawarcia umowy autocasco od potwierdzenia sprawności zabezpieczenia przeciwkradzieżowego przez podmiot profesjonalnie trudniący się montażem lub serwisowaniem zabezpieczeń przeciwkradzieżowych.</w:t>
      </w:r>
    </w:p>
    <w:p w14:paraId="0421B35B" w14:textId="4B17222D" w:rsidR="008E6167" w:rsidRPr="00D4716C" w:rsidRDefault="009F7814"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w:t>
      </w:r>
      <w:r w:rsidR="009B3AFA" w:rsidRPr="00D4716C">
        <w:rPr>
          <w:rFonts w:cstheme="minorHAnsi"/>
          <w:color w:val="0D0D0D" w:themeColor="text1" w:themeTint="F2"/>
        </w:rPr>
        <w:t xml:space="preserve"> kwestiach nieuregulowanych w S</w:t>
      </w:r>
      <w:r w:rsidRPr="00D4716C">
        <w:rPr>
          <w:rFonts w:cstheme="minorHAnsi"/>
          <w:color w:val="0D0D0D" w:themeColor="text1" w:themeTint="F2"/>
        </w:rPr>
        <w:t xml:space="preserve">WZ lub w Ofercie Wykonawcy zastosowanie będą mieć ogólne warunki ubezpieczenia </w:t>
      </w:r>
      <w:r w:rsidR="007A2EB6">
        <w:rPr>
          <w:rFonts w:cstheme="minorHAnsi"/>
          <w:color w:val="0D0D0D" w:themeColor="text1" w:themeTint="F2"/>
        </w:rPr>
        <w:t>/</w:t>
      </w:r>
      <w:r w:rsidRPr="00D4716C">
        <w:rPr>
          <w:rFonts w:cstheme="minorHAnsi"/>
          <w:color w:val="0D0D0D" w:themeColor="text1" w:themeTint="F2"/>
        </w:rPr>
        <w:t xml:space="preserve"> wzorce umowy Wykonawcy (dalej OWU), w</w:t>
      </w:r>
      <w:r w:rsidR="007A2EB6">
        <w:rPr>
          <w:rFonts w:cstheme="minorHAnsi"/>
          <w:color w:val="0D0D0D" w:themeColor="text1" w:themeTint="F2"/>
        </w:rPr>
        <w:t>skazane przez Wykonawcę w złożonej Ofercie</w:t>
      </w:r>
      <w:r w:rsidRPr="00D4716C">
        <w:rPr>
          <w:rFonts w:cstheme="minorHAnsi"/>
          <w:color w:val="0D0D0D" w:themeColor="text1" w:themeTint="F2"/>
        </w:rPr>
        <w:t>.</w:t>
      </w:r>
    </w:p>
    <w:p w14:paraId="10182E12" w14:textId="0ED91A39" w:rsidR="008E6167" w:rsidRPr="00D4716C" w:rsidRDefault="008E6167" w:rsidP="002649BF">
      <w:pPr>
        <w:pStyle w:val="Tekstpodstawowywcity"/>
        <w:numPr>
          <w:ilvl w:val="0"/>
          <w:numId w:val="6"/>
        </w:numPr>
        <w:tabs>
          <w:tab w:val="clear" w:pos="0"/>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D4716C">
        <w:rPr>
          <w:rFonts w:cstheme="minorHAnsi"/>
          <w:color w:val="0D0D0D" w:themeColor="text1" w:themeTint="F2"/>
        </w:rPr>
        <w:t> </w:t>
      </w:r>
      <w:r w:rsidRPr="00D4716C">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D4716C" w:rsidRDefault="008E6167" w:rsidP="002649BF">
      <w:pPr>
        <w:pStyle w:val="Tekstpodstawowywcity"/>
        <w:numPr>
          <w:ilvl w:val="0"/>
          <w:numId w:val="6"/>
        </w:numPr>
        <w:tabs>
          <w:tab w:val="left" w:pos="284"/>
        </w:tabs>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Brokerem odpowiedzialnym za obsługę umowy </w:t>
      </w:r>
      <w:r w:rsidR="00391EAE" w:rsidRPr="00D4716C">
        <w:rPr>
          <w:rFonts w:cstheme="minorHAnsi"/>
          <w:color w:val="0D0D0D" w:themeColor="text1" w:themeTint="F2"/>
        </w:rPr>
        <w:t xml:space="preserve">oraz pośredniczącym w jej zawarciu </w:t>
      </w:r>
      <w:r w:rsidRPr="00D4716C">
        <w:rPr>
          <w:rFonts w:cstheme="minorHAnsi"/>
          <w:color w:val="0D0D0D" w:themeColor="text1" w:themeTint="F2"/>
        </w:rPr>
        <w:t>jest:</w:t>
      </w:r>
    </w:p>
    <w:p w14:paraId="774FC48B" w14:textId="1CE40918" w:rsidR="008E6167" w:rsidRPr="00D4716C" w:rsidRDefault="008E6167" w:rsidP="002649BF">
      <w:pPr>
        <w:pStyle w:val="Tekstpodstawowywcity"/>
        <w:tabs>
          <w:tab w:val="left" w:pos="284"/>
        </w:tabs>
        <w:suppressAutoHyphens/>
        <w:spacing w:line="271" w:lineRule="auto"/>
        <w:ind w:left="284"/>
        <w:jc w:val="both"/>
        <w:rPr>
          <w:rFonts w:cstheme="minorHAnsi"/>
          <w:color w:val="0D0D0D" w:themeColor="text1" w:themeTint="F2"/>
        </w:rPr>
      </w:pPr>
      <w:r w:rsidRPr="00D4716C">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D4716C">
        <w:rPr>
          <w:rFonts w:cstheme="minorHAnsi"/>
          <w:color w:val="0D0D0D" w:themeColor="text1" w:themeTint="F2"/>
        </w:rPr>
        <w:t>:</w:t>
      </w:r>
      <w:r w:rsidRPr="00D4716C">
        <w:rPr>
          <w:rFonts w:cstheme="minorHAnsi"/>
          <w:color w:val="0D0D0D" w:themeColor="text1" w:themeTint="F2"/>
        </w:rPr>
        <w:t xml:space="preserve"> 0000048205, REGON</w:t>
      </w:r>
      <w:r w:rsidR="00A2205C" w:rsidRPr="00D4716C">
        <w:rPr>
          <w:rFonts w:cstheme="minorHAnsi"/>
          <w:color w:val="0D0D0D" w:themeColor="text1" w:themeTint="F2"/>
        </w:rPr>
        <w:t>:</w:t>
      </w:r>
      <w:r w:rsidRPr="00D4716C">
        <w:rPr>
          <w:rFonts w:cstheme="minorHAnsi"/>
          <w:color w:val="0D0D0D" w:themeColor="text1" w:themeTint="F2"/>
        </w:rPr>
        <w:t xml:space="preserve"> 472042317, NIP</w:t>
      </w:r>
      <w:r w:rsidR="00A2205C" w:rsidRPr="00D4716C">
        <w:rPr>
          <w:rFonts w:cstheme="minorHAnsi"/>
          <w:color w:val="0D0D0D" w:themeColor="text1" w:themeTint="F2"/>
        </w:rPr>
        <w:t>:</w:t>
      </w:r>
      <w:r w:rsidRPr="00D4716C">
        <w:rPr>
          <w:rFonts w:cstheme="minorHAnsi"/>
          <w:color w:val="0D0D0D" w:themeColor="text1" w:themeTint="F2"/>
        </w:rPr>
        <w:t xml:space="preserve"> 725-17-06-712</w:t>
      </w:r>
      <w:r w:rsidR="00A2205C" w:rsidRPr="00D4716C">
        <w:rPr>
          <w:rFonts w:cstheme="minorHAnsi"/>
          <w:color w:val="0D0D0D" w:themeColor="text1" w:themeTint="F2"/>
        </w:rPr>
        <w:t>.</w:t>
      </w:r>
    </w:p>
    <w:p w14:paraId="5B4A7199" w14:textId="4B76D600"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2.</w:t>
      </w:r>
    </w:p>
    <w:p w14:paraId="51F4D638"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Termin realizacji Umowy</w:t>
      </w:r>
    </w:p>
    <w:p w14:paraId="2F731034" w14:textId="77777777" w:rsidR="00B95F25" w:rsidRPr="00D4716C" w:rsidRDefault="009F7814" w:rsidP="002649BF">
      <w:pPr>
        <w:pStyle w:val="Tekstpodstawowywcity"/>
        <w:numPr>
          <w:ilvl w:val="1"/>
          <w:numId w:val="7"/>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D4716C" w14:paraId="3CCFC129" w14:textId="77777777" w:rsidTr="00B95F25">
        <w:tc>
          <w:tcPr>
            <w:tcW w:w="4219" w:type="dxa"/>
          </w:tcPr>
          <w:p w14:paraId="3DE2B1E7" w14:textId="683897BD" w:rsidR="00B95F25" w:rsidRPr="00D4716C" w:rsidRDefault="00B95F25" w:rsidP="002649BF">
            <w:pPr>
              <w:pStyle w:val="Tekstpodstawowywcity"/>
              <w:suppressAutoHyphens/>
              <w:spacing w:line="271" w:lineRule="auto"/>
              <w:ind w:left="0"/>
              <w:jc w:val="both"/>
              <w:rPr>
                <w:rFonts w:cstheme="minorHAnsi"/>
                <w:color w:val="0D0D0D" w:themeColor="text1" w:themeTint="F2"/>
              </w:rPr>
            </w:pPr>
          </w:p>
        </w:tc>
      </w:tr>
    </w:tbl>
    <w:p w14:paraId="4E8A4B1F" w14:textId="77777777" w:rsidR="00D62EE1" w:rsidRPr="004046CA" w:rsidRDefault="00D62EE1" w:rsidP="002649BF">
      <w:pPr>
        <w:pStyle w:val="Tekstpodstawowywcity"/>
        <w:suppressAutoHyphens/>
        <w:spacing w:line="271" w:lineRule="auto"/>
        <w:ind w:left="284"/>
        <w:jc w:val="both"/>
        <w:rPr>
          <w:rFonts w:cstheme="minorHAnsi"/>
        </w:rPr>
      </w:pPr>
      <w:r w:rsidRPr="004046CA">
        <w:rPr>
          <w:rFonts w:cstheme="minorHAnsi"/>
        </w:rPr>
        <w:t>Przez termin realizacji Umowy rozumie się przedział czasowy, w którym przypada początek okresu ubezpieczenia dla umów ubezpieczenia poszczególnych pojazdów.</w:t>
      </w:r>
    </w:p>
    <w:p w14:paraId="4F37F55E" w14:textId="05FFBC06" w:rsidR="00081C5A" w:rsidRPr="00D4716C" w:rsidRDefault="00081C5A" w:rsidP="002649BF">
      <w:pPr>
        <w:pStyle w:val="Tekstpodstawowywcity"/>
        <w:numPr>
          <w:ilvl w:val="1"/>
          <w:numId w:val="7"/>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D4716C" w:rsidRDefault="00081C5A" w:rsidP="002649BF">
      <w:pPr>
        <w:pStyle w:val="Tekstpodstawowywcity"/>
        <w:numPr>
          <w:ilvl w:val="1"/>
          <w:numId w:val="7"/>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3.</w:t>
      </w:r>
    </w:p>
    <w:p w14:paraId="4281077F" w14:textId="2DAEF3CB" w:rsidR="009F7814" w:rsidRPr="00D4716C" w:rsidRDefault="009F7814" w:rsidP="002649BF">
      <w:pPr>
        <w:pStyle w:val="Tekstpodstawowywcity"/>
        <w:spacing w:line="271" w:lineRule="auto"/>
        <w:jc w:val="center"/>
        <w:rPr>
          <w:rFonts w:cstheme="minorHAnsi"/>
          <w:b/>
          <w:color w:val="0D0D0D" w:themeColor="text1" w:themeTint="F2"/>
        </w:rPr>
      </w:pPr>
      <w:r w:rsidRPr="00D4716C">
        <w:rPr>
          <w:rFonts w:cstheme="minorHAnsi"/>
          <w:b/>
          <w:color w:val="0D0D0D" w:themeColor="text1" w:themeTint="F2"/>
        </w:rPr>
        <w:t>Doku</w:t>
      </w:r>
      <w:r w:rsidR="008F5432" w:rsidRPr="00D4716C">
        <w:rPr>
          <w:rFonts w:cstheme="minorHAnsi"/>
          <w:b/>
          <w:color w:val="0D0D0D" w:themeColor="text1" w:themeTint="F2"/>
        </w:rPr>
        <w:t>menty potwierdzające zawarcie Um</w:t>
      </w:r>
      <w:r w:rsidRPr="00D4716C">
        <w:rPr>
          <w:rFonts w:cstheme="minorHAnsi"/>
          <w:b/>
          <w:color w:val="0D0D0D" w:themeColor="text1" w:themeTint="F2"/>
        </w:rPr>
        <w:t>owy ubezpieczenia</w:t>
      </w:r>
    </w:p>
    <w:p w14:paraId="3322B02D" w14:textId="77777777" w:rsidR="00081C5A" w:rsidRPr="00D4716C" w:rsidRDefault="009F7814"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Dokumentem świadcze</w:t>
      </w:r>
      <w:r w:rsidR="00081C5A" w:rsidRPr="00D4716C">
        <w:rPr>
          <w:rFonts w:cstheme="minorHAnsi"/>
          <w:color w:val="0D0D0D" w:themeColor="text1" w:themeTint="F2"/>
        </w:rPr>
        <w:t>nia usługi opisanej w § 1 będą polisy ubezpieczeniowe.</w:t>
      </w:r>
    </w:p>
    <w:p w14:paraId="2044C554" w14:textId="2375ACF3" w:rsidR="00D62EE1" w:rsidRPr="002649BF" w:rsidRDefault="00D62EE1"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9F665E">
        <w:rPr>
          <w:rFonts w:cstheme="minorHAnsi"/>
          <w:color w:val="0D0D0D" w:themeColor="text1" w:themeTint="F2"/>
        </w:rPr>
        <w:t xml:space="preserve">Polisy dla </w:t>
      </w:r>
      <w:r w:rsidRPr="002649BF">
        <w:rPr>
          <w:rFonts w:cstheme="minorHAnsi"/>
          <w:color w:val="0D0D0D" w:themeColor="text1" w:themeTint="F2"/>
        </w:rPr>
        <w:t>poszczególnych pojazdów będą wystawione na roczne okresy ubezpieczenia</w:t>
      </w:r>
      <w:r w:rsidR="00DB568D" w:rsidRPr="002649BF">
        <w:rPr>
          <w:rFonts w:cstheme="minorHAnsi"/>
          <w:color w:val="0D0D0D" w:themeColor="text1" w:themeTint="F2"/>
        </w:rPr>
        <w:t>, z uwzględnieniem zapisów klauzuli wyrównania okresu ubezpieczenia w ubezpieczeniu obowiązkowym OC posiadaczy pojazdów mechanicznych i klauzuli naliczania składki w ubezpieczeniach dobrowolnych.</w:t>
      </w:r>
    </w:p>
    <w:p w14:paraId="0952E436" w14:textId="77777777" w:rsidR="00D62EE1" w:rsidRPr="00D62EE1" w:rsidRDefault="00D62EE1"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2649BF">
        <w:rPr>
          <w:rFonts w:cstheme="minorHAnsi"/>
          <w:color w:val="0D0D0D" w:themeColor="text1" w:themeTint="F2"/>
        </w:rPr>
        <w:lastRenderedPageBreak/>
        <w:t>Do umowy obowiązkowego ubezpieczenia OC posiadaczy pojazdów mechanicznych dla każdego pojazdu będzie wystawiony certyfikat</w:t>
      </w:r>
      <w:r w:rsidRPr="00D62EE1">
        <w:rPr>
          <w:rFonts w:cstheme="minorHAnsi"/>
          <w:color w:val="0D0D0D" w:themeColor="text1" w:themeTint="F2"/>
        </w:rPr>
        <w:t xml:space="preserve"> potwierdzający zawarcie tego ubezpieczenia.</w:t>
      </w:r>
    </w:p>
    <w:p w14:paraId="60A14747" w14:textId="3E04ACB5" w:rsidR="009F7814" w:rsidRPr="00D4716C" w:rsidRDefault="00EE66C4" w:rsidP="002649BF">
      <w:pPr>
        <w:pStyle w:val="Tekstpodstawowywcity"/>
        <w:numPr>
          <w:ilvl w:val="0"/>
          <w:numId w:val="5"/>
        </w:numPr>
        <w:tabs>
          <w:tab w:val="clear" w:pos="0"/>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Polisy będą wystawione</w:t>
      </w:r>
      <w:r w:rsidR="009F7814" w:rsidRPr="00D4716C">
        <w:rPr>
          <w:rFonts w:cstheme="minorHAnsi"/>
          <w:color w:val="0D0D0D" w:themeColor="text1" w:themeTint="F2"/>
        </w:rPr>
        <w:t xml:space="preserve"> zgodnie z zadeklarowanym przez Wyko</w:t>
      </w:r>
      <w:r w:rsidR="00B0142E" w:rsidRPr="00D4716C">
        <w:rPr>
          <w:rFonts w:cstheme="minorHAnsi"/>
          <w:color w:val="0D0D0D" w:themeColor="text1" w:themeTint="F2"/>
        </w:rPr>
        <w:t>nawcę zakresem ubezpieczenia (§ </w:t>
      </w:r>
      <w:r w:rsidR="009F7814" w:rsidRPr="00D4716C">
        <w:rPr>
          <w:rFonts w:cstheme="minorHAnsi"/>
          <w:color w:val="0D0D0D" w:themeColor="text1" w:themeTint="F2"/>
        </w:rPr>
        <w:t>1, ust. 2).</w:t>
      </w:r>
    </w:p>
    <w:p w14:paraId="5162F86E"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4.</w:t>
      </w:r>
    </w:p>
    <w:p w14:paraId="5CE172D2" w14:textId="686BBD89" w:rsidR="009F7814" w:rsidRPr="00D4716C" w:rsidRDefault="00701C7B"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Stawki i składki ubezpiecz</w:t>
      </w:r>
      <w:r w:rsidR="00CB4560" w:rsidRPr="00D4716C">
        <w:rPr>
          <w:rFonts w:cstheme="minorHAnsi"/>
          <w:b/>
          <w:color w:val="0D0D0D" w:themeColor="text1" w:themeTint="F2"/>
        </w:rPr>
        <w:t>e</w:t>
      </w:r>
      <w:r w:rsidRPr="00D4716C">
        <w:rPr>
          <w:rFonts w:cstheme="minorHAnsi"/>
          <w:b/>
          <w:color w:val="0D0D0D" w:themeColor="text1" w:themeTint="F2"/>
        </w:rPr>
        <w:t>ni</w:t>
      </w:r>
      <w:r w:rsidR="002E6E82" w:rsidRPr="00D4716C">
        <w:rPr>
          <w:rFonts w:cstheme="minorHAnsi"/>
          <w:b/>
          <w:color w:val="0D0D0D" w:themeColor="text1" w:themeTint="F2"/>
        </w:rPr>
        <w:t>owe</w:t>
      </w:r>
    </w:p>
    <w:p w14:paraId="2DBA17CF" w14:textId="77777777"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Stawki i składki (gdy brak stawki) wynikające z Oferty Wykonawcy obowiązywać będą przez cały okres realizacji Umowy. </w:t>
      </w:r>
    </w:p>
    <w:p w14:paraId="77A17E3E" w14:textId="77777777" w:rsidR="00B95F25"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Suma składek ubezpieczeniowych za </w:t>
      </w:r>
      <w:r w:rsidR="00027D38" w:rsidRPr="00D4716C">
        <w:rPr>
          <w:rFonts w:cstheme="minorHAnsi"/>
          <w:color w:val="0D0D0D" w:themeColor="text1" w:themeTint="F2"/>
        </w:rPr>
        <w:t>cały</w:t>
      </w:r>
      <w:r w:rsidRPr="00D4716C">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D4716C" w14:paraId="05CE6196" w14:textId="77777777" w:rsidTr="00D62EE1">
        <w:tc>
          <w:tcPr>
            <w:tcW w:w="8702" w:type="dxa"/>
          </w:tcPr>
          <w:p w14:paraId="1E28298A" w14:textId="25D3D114" w:rsidR="00B95F25" w:rsidRPr="00D4716C" w:rsidRDefault="00ED166C" w:rsidP="002649BF">
            <w:pPr>
              <w:pStyle w:val="Tekstpodstawowywcity"/>
              <w:suppressAutoHyphens/>
              <w:spacing w:line="271" w:lineRule="auto"/>
              <w:ind w:left="0"/>
              <w:jc w:val="both"/>
              <w:rPr>
                <w:rFonts w:cstheme="minorHAnsi"/>
                <w:color w:val="0D0D0D" w:themeColor="text1" w:themeTint="F2"/>
              </w:rPr>
            </w:pPr>
            <w:r>
              <w:rPr>
                <w:rFonts w:cstheme="minorHAnsi"/>
                <w:color w:val="0D0D0D" w:themeColor="text1" w:themeTint="F2"/>
              </w:rPr>
              <w:t xml:space="preserve"> </w:t>
            </w:r>
            <w:r w:rsidR="00246634" w:rsidRPr="00D4716C">
              <w:rPr>
                <w:rFonts w:cstheme="minorHAnsi"/>
                <w:color w:val="0D0D0D" w:themeColor="text1" w:themeTint="F2"/>
              </w:rPr>
              <w:t>zł, w tym VAT – zwolniony.</w:t>
            </w:r>
          </w:p>
        </w:tc>
      </w:tr>
    </w:tbl>
    <w:p w14:paraId="0947AAC3" w14:textId="68852B3C" w:rsidR="00D62EE1" w:rsidRDefault="00D62EE1" w:rsidP="002649BF">
      <w:pPr>
        <w:pStyle w:val="Tekstpodstawowywcity"/>
        <w:numPr>
          <w:ilvl w:val="0"/>
          <w:numId w:val="8"/>
        </w:numPr>
        <w:suppressAutoHyphens/>
        <w:spacing w:line="271" w:lineRule="auto"/>
        <w:jc w:val="both"/>
        <w:rPr>
          <w:rFonts w:cstheme="minorHAnsi"/>
          <w:color w:val="0D0D0D" w:themeColor="text1" w:themeTint="F2"/>
        </w:rPr>
      </w:pPr>
      <w:r w:rsidRPr="00D62EE1">
        <w:rPr>
          <w:rFonts w:cstheme="minorHAnsi"/>
          <w:color w:val="0D0D0D" w:themeColor="text1" w:themeTint="F2"/>
        </w:rPr>
        <w:t>Ostateczna składka może różnić się od składki zadeklarowanej w Ofercie Wykonawcy z uwagi na zwiększenie lub zmniejszenie floty Zamawiającego oraz różnice wynikające z wyceny pojazdów według wartości rynkowej w dniu wystawiania dokumentu ubezpieczenia, stanowiącej sumę ubezpieczenia autocasco.</w:t>
      </w:r>
    </w:p>
    <w:p w14:paraId="40508C10" w14:textId="77777777" w:rsidR="00D62EE1" w:rsidRPr="00D62EE1" w:rsidRDefault="00D62EE1" w:rsidP="002649BF">
      <w:pPr>
        <w:pStyle w:val="Tekstpodstawowywcity"/>
        <w:numPr>
          <w:ilvl w:val="0"/>
          <w:numId w:val="8"/>
        </w:numPr>
        <w:suppressAutoHyphens/>
        <w:spacing w:line="271" w:lineRule="auto"/>
        <w:jc w:val="both"/>
        <w:rPr>
          <w:rFonts w:cstheme="minorHAnsi"/>
          <w:color w:val="0D0D0D" w:themeColor="text1" w:themeTint="F2"/>
        </w:rPr>
      </w:pPr>
      <w:r w:rsidRPr="00D62EE1">
        <w:rPr>
          <w:rFonts w:cstheme="minorHAnsi"/>
          <w:color w:val="0D0D0D" w:themeColor="text1" w:themeTint="F2"/>
        </w:rPr>
        <w:t>Dla pojazdów, w posiadanie których Zamawiający wejdzie w trakcie terminu realizacji Umowy zastosowanie będą mieć stawki lub składki podane w Ofercie Wykonawcy dla innych pojazdów o podobnym rodzaju.</w:t>
      </w:r>
    </w:p>
    <w:p w14:paraId="6E9175ED" w14:textId="783D368D"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Składka będzie płatna w terminach określonych w SWZ na rachunek Wykonawcy wskazany w polisach ubezpieczeniowych.</w:t>
      </w:r>
    </w:p>
    <w:p w14:paraId="2AC710AC" w14:textId="0FC05818"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Niezależnie od ustalonego w umowie ubezpieczenia terminu zapłaty składki, odpowiedzialność </w:t>
      </w:r>
      <w:r w:rsidR="00516EF4" w:rsidRPr="00D4716C">
        <w:rPr>
          <w:rFonts w:cstheme="minorHAnsi"/>
          <w:color w:val="0D0D0D" w:themeColor="text1" w:themeTint="F2"/>
        </w:rPr>
        <w:t>Wykonawcy</w:t>
      </w:r>
      <w:r w:rsidRPr="00D4716C">
        <w:rPr>
          <w:rFonts w:cstheme="minorHAnsi"/>
          <w:color w:val="0D0D0D" w:themeColor="text1" w:themeTint="F2"/>
        </w:rPr>
        <w:t xml:space="preserve"> rozpoczyna się z chwilą określoną w umowie ubezpieczenia jako początek okresu ubezpieczenia.</w:t>
      </w:r>
    </w:p>
    <w:p w14:paraId="312DCFA0" w14:textId="464414A1"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3F09F5EC"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W przypadku szkody, z chwilą uznania przez Wykonawcę roszczenia z tytułu szkody – Zamawiający nie będzie zobowiązany do uiszczenia pozostałych do zapłaty rat składki </w:t>
      </w:r>
      <w:r w:rsidR="00990714">
        <w:rPr>
          <w:rFonts w:cstheme="minorHAnsi"/>
          <w:color w:val="0D0D0D" w:themeColor="text1" w:themeTint="F2"/>
        </w:rPr>
        <w:br/>
      </w:r>
      <w:r w:rsidRPr="00D4716C">
        <w:rPr>
          <w:rFonts w:cstheme="minorHAnsi"/>
          <w:color w:val="0D0D0D" w:themeColor="text1" w:themeTint="F2"/>
        </w:rPr>
        <w:t xml:space="preserve">w terminach innych, niż wynikające z zawartej umowy. Wykonawcy nie przysługuje prawo potrącenia wierzytelności o zapłatę rat z </w:t>
      </w:r>
      <w:r w:rsidR="00A54799">
        <w:rPr>
          <w:rFonts w:cstheme="minorHAnsi"/>
          <w:color w:val="0D0D0D" w:themeColor="text1" w:themeTint="F2"/>
        </w:rPr>
        <w:t>należnego odszkodowania</w:t>
      </w:r>
      <w:r w:rsidRPr="00D4716C">
        <w:rPr>
          <w:rFonts w:cstheme="minorHAnsi"/>
          <w:color w:val="0D0D0D" w:themeColor="text1" w:themeTint="F2"/>
        </w:rPr>
        <w:t>.</w:t>
      </w:r>
    </w:p>
    <w:p w14:paraId="4F9D98AB" w14:textId="6902168F" w:rsidR="00081C5A" w:rsidRPr="00D4716C" w:rsidRDefault="00081C5A" w:rsidP="002649BF">
      <w:pPr>
        <w:pStyle w:val="Tekstpodstawowywcity"/>
        <w:numPr>
          <w:ilvl w:val="0"/>
          <w:numId w:val="8"/>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W przypadku zmniejszenia (w okresie ubezpieczenia) limitu sumy </w:t>
      </w:r>
      <w:r w:rsidR="005A58A9" w:rsidRPr="00D4716C">
        <w:rPr>
          <w:rFonts w:cstheme="minorHAnsi"/>
          <w:color w:val="0D0D0D" w:themeColor="text1" w:themeTint="F2"/>
        </w:rPr>
        <w:t>ubezpieczenia</w:t>
      </w:r>
      <w:r w:rsidRPr="00D4716C">
        <w:rPr>
          <w:rFonts w:cstheme="minorHAnsi"/>
          <w:color w:val="0D0D0D" w:themeColor="text1" w:themeTint="F2"/>
        </w:rPr>
        <w:t xml:space="preserve"> wynikającego </w:t>
      </w:r>
      <w:r w:rsidR="00990714">
        <w:rPr>
          <w:rFonts w:cstheme="minorHAnsi"/>
          <w:color w:val="0D0D0D" w:themeColor="text1" w:themeTint="F2"/>
        </w:rPr>
        <w:br/>
      </w:r>
      <w:r w:rsidRPr="00D4716C">
        <w:rPr>
          <w:rFonts w:cstheme="minorHAnsi"/>
          <w:color w:val="0D0D0D" w:themeColor="text1" w:themeTint="F2"/>
        </w:rPr>
        <w:t xml:space="preserve">z jej redukcji o wypłacone odszkodowanie, na wniosek Zamawiającego (za zgodą Wykonawcy) oraz za dodatkową składką Wykonawca przywróci pierwotną wysokość </w:t>
      </w:r>
      <w:r w:rsidR="005A58A9" w:rsidRPr="00D4716C">
        <w:rPr>
          <w:rFonts w:cstheme="minorHAnsi"/>
          <w:color w:val="0D0D0D" w:themeColor="text1" w:themeTint="F2"/>
        </w:rPr>
        <w:t>limitu sumy ubezpieczenia</w:t>
      </w:r>
      <w:r w:rsidRPr="00D4716C">
        <w:rPr>
          <w:rFonts w:cstheme="minorHAnsi"/>
          <w:color w:val="0D0D0D" w:themeColor="text1" w:themeTint="F2"/>
        </w:rPr>
        <w:t xml:space="preserve">. </w:t>
      </w:r>
    </w:p>
    <w:p w14:paraId="6BF6B4BB" w14:textId="2922F80C" w:rsidR="00081C5A" w:rsidRPr="00D4716C" w:rsidRDefault="00640FEA" w:rsidP="002649BF">
      <w:pPr>
        <w:pStyle w:val="Akapitzlist"/>
        <w:numPr>
          <w:ilvl w:val="0"/>
          <w:numId w:val="8"/>
        </w:numPr>
        <w:suppressAutoHyphens/>
        <w:spacing w:after="120" w:line="271" w:lineRule="auto"/>
        <w:ind w:left="357" w:hanging="357"/>
        <w:jc w:val="both"/>
        <w:rPr>
          <w:rFonts w:cstheme="minorHAnsi"/>
          <w:color w:val="0D0D0D" w:themeColor="text1" w:themeTint="F2"/>
        </w:rPr>
      </w:pPr>
      <w:r w:rsidRPr="00D4716C">
        <w:rPr>
          <w:rFonts w:cstheme="minorHAnsi"/>
          <w:color w:val="0D0D0D" w:themeColor="text1" w:themeTint="F2"/>
        </w:rPr>
        <w:t xml:space="preserve">W przypadku doubezpieczenia, uzupełnienia lub podwyższenia sumy </w:t>
      </w:r>
      <w:r w:rsidR="005A58A9" w:rsidRPr="00D4716C">
        <w:rPr>
          <w:rFonts w:cstheme="minorHAnsi"/>
          <w:color w:val="0D0D0D" w:themeColor="text1" w:themeTint="F2"/>
        </w:rPr>
        <w:t>ubezpieczenia</w:t>
      </w:r>
      <w:r w:rsidRPr="00D4716C">
        <w:rPr>
          <w:rFonts w:cstheme="minorHAnsi"/>
          <w:color w:val="0D0D0D" w:themeColor="text1" w:themeTint="F2"/>
        </w:rPr>
        <w:t xml:space="preserve"> lub limitu odpowiedzialności w okresie ubezpieczenia, zastosowanie mieć będą warunki umowy oraz stopy </w:t>
      </w:r>
      <w:r w:rsidRPr="00D4716C">
        <w:rPr>
          <w:rFonts w:cstheme="minorHAnsi"/>
          <w:color w:val="0D0D0D" w:themeColor="text1" w:themeTint="F2"/>
        </w:rPr>
        <w:lastRenderedPageBreak/>
        <w:t>składek (stawki) obowiązujące w umowie ubezpieczenia, bez stosowania zasady składki minimalnej dla każdej polisy</w:t>
      </w:r>
    </w:p>
    <w:p w14:paraId="72805740" w14:textId="77777777" w:rsidR="00081C5A" w:rsidRPr="00D4716C" w:rsidRDefault="00081C5A" w:rsidP="002649BF">
      <w:pPr>
        <w:pStyle w:val="Tekstpodstawowywcity"/>
        <w:numPr>
          <w:ilvl w:val="0"/>
          <w:numId w:val="8"/>
        </w:numPr>
        <w:suppressAutoHyphens/>
        <w:spacing w:line="271" w:lineRule="auto"/>
        <w:ind w:left="357" w:hanging="357"/>
        <w:jc w:val="both"/>
        <w:rPr>
          <w:rFonts w:cstheme="minorHAnsi"/>
          <w:color w:val="0D0D0D" w:themeColor="text1" w:themeTint="F2"/>
        </w:rPr>
      </w:pPr>
      <w:r w:rsidRPr="00D4716C">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D4716C" w:rsidRDefault="00A91BDF" w:rsidP="002649BF">
      <w:pPr>
        <w:tabs>
          <w:tab w:val="left" w:pos="0"/>
        </w:tabs>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5.</w:t>
      </w:r>
    </w:p>
    <w:p w14:paraId="6CF254D5" w14:textId="77777777" w:rsidR="00A91BDF" w:rsidRPr="00D4716C" w:rsidRDefault="00A91BDF" w:rsidP="002649BF">
      <w:pPr>
        <w:tabs>
          <w:tab w:val="left" w:pos="0"/>
        </w:tabs>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Aktualizacja sum ubezpieczenia i innych okoliczności podanych przed zawarciem Umowy</w:t>
      </w:r>
    </w:p>
    <w:p w14:paraId="27AD5C7A" w14:textId="7E28ADF6" w:rsidR="00A91BDF" w:rsidRDefault="00A91BDF" w:rsidP="002649BF">
      <w:pPr>
        <w:numPr>
          <w:ilvl w:val="0"/>
          <w:numId w:val="27"/>
        </w:numPr>
        <w:suppressAutoHyphens/>
        <w:spacing w:after="12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Przed wystawieniem polis na kolejne roczne okresy ubezpieczenia Zamawiający może zaktualizować sumy ubezpieczenia </w:t>
      </w:r>
      <w:r w:rsidR="00820C41">
        <w:rPr>
          <w:rFonts w:ascii="Calibri" w:eastAsia="Times New Roman" w:hAnsi="Calibri" w:cs="Tahoma"/>
          <w:color w:val="0D0D0D" w:themeColor="text1" w:themeTint="F2"/>
        </w:rPr>
        <w:t>pojazdów</w:t>
      </w:r>
      <w:r w:rsidRPr="00D4716C">
        <w:rPr>
          <w:rFonts w:ascii="Calibri" w:eastAsia="Times New Roman" w:hAnsi="Calibri" w:cs="Tahoma"/>
          <w:color w:val="0D0D0D" w:themeColor="text1" w:themeTint="F2"/>
        </w:rPr>
        <w:t xml:space="preserve">. Składka zostanie wyliczona z zastosowaniem stawek wynikających z Oferty Wykonawcy. </w:t>
      </w:r>
    </w:p>
    <w:p w14:paraId="078C9424" w14:textId="77777777" w:rsidR="00820C41" w:rsidRPr="00820C41" w:rsidRDefault="00820C41" w:rsidP="002649BF">
      <w:pPr>
        <w:numPr>
          <w:ilvl w:val="0"/>
          <w:numId w:val="27"/>
        </w:numPr>
        <w:suppressAutoHyphens/>
        <w:spacing w:after="120" w:line="271" w:lineRule="auto"/>
        <w:ind w:left="284" w:hanging="284"/>
        <w:jc w:val="both"/>
        <w:rPr>
          <w:rFonts w:ascii="Calibri" w:eastAsia="Times New Roman" w:hAnsi="Calibri" w:cs="Tahoma"/>
          <w:color w:val="0D0D0D" w:themeColor="text1" w:themeTint="F2"/>
        </w:rPr>
      </w:pPr>
      <w:r w:rsidRPr="00820C41">
        <w:rPr>
          <w:rFonts w:ascii="Calibri" w:eastAsia="Times New Roman" w:hAnsi="Calibri" w:cs="Tahoma"/>
          <w:color w:val="0D0D0D" w:themeColor="text1" w:themeTint="F2"/>
        </w:rPr>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5969AFBE" w14:textId="3207D129" w:rsidR="00A91BDF" w:rsidRPr="00D4716C" w:rsidRDefault="00A91BDF" w:rsidP="002649BF">
      <w:pPr>
        <w:numPr>
          <w:ilvl w:val="0"/>
          <w:numId w:val="27"/>
        </w:numPr>
        <w:suppressAutoHyphens/>
        <w:spacing w:after="12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Zamawiający nie ma obowiązku </w:t>
      </w:r>
      <w:r w:rsidRPr="00D4716C">
        <w:rPr>
          <w:rFonts w:ascii="Calibri" w:eastAsia="Times New Roman" w:hAnsi="Calibri" w:cs="Arial"/>
          <w:color w:val="0D0D0D" w:themeColor="text1" w:themeTint="F2"/>
        </w:rPr>
        <w:t>zgłaszania w okresie realizacji Umowy zmian okoliczności podanych przed zawarciem umowy w SWZ albo w innych pismach.</w:t>
      </w:r>
    </w:p>
    <w:p w14:paraId="73430580" w14:textId="1317D939"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6</w:t>
      </w:r>
      <w:r w:rsidRPr="00D4716C">
        <w:rPr>
          <w:rFonts w:cstheme="minorHAnsi"/>
          <w:b/>
          <w:color w:val="0D0D0D" w:themeColor="text1" w:themeTint="F2"/>
        </w:rPr>
        <w:t>.</w:t>
      </w:r>
    </w:p>
    <w:p w14:paraId="6D370445"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Zgłoszenie i likwidacja szkody, wypłata odszkodowania</w:t>
      </w:r>
    </w:p>
    <w:p w14:paraId="1A784B6E" w14:textId="74C76D78" w:rsidR="00A91BDF" w:rsidRPr="00D4716C" w:rsidRDefault="009F7814" w:rsidP="002649BF">
      <w:pPr>
        <w:pStyle w:val="Tekstpodstawowywcity"/>
        <w:numPr>
          <w:ilvl w:val="1"/>
          <w:numId w:val="14"/>
        </w:numPr>
        <w:tabs>
          <w:tab w:val="clear" w:pos="0"/>
          <w:tab w:val="num" w:pos="284"/>
        </w:tabs>
        <w:suppressAutoHyphens/>
        <w:spacing w:line="271" w:lineRule="auto"/>
        <w:ind w:left="284" w:hanging="284"/>
        <w:jc w:val="both"/>
        <w:rPr>
          <w:rFonts w:ascii="Calibri" w:hAnsi="Calibri" w:cs="Tahoma"/>
          <w:color w:val="0D0D0D" w:themeColor="text1" w:themeTint="F2"/>
        </w:rPr>
      </w:pPr>
      <w:r w:rsidRPr="00D4716C">
        <w:rPr>
          <w:rFonts w:cstheme="minorHAnsi"/>
          <w:color w:val="0D0D0D" w:themeColor="text1" w:themeTint="F2"/>
        </w:rPr>
        <w:t xml:space="preserve">W przypadku </w:t>
      </w:r>
      <w:r w:rsidR="00A91BDF" w:rsidRPr="00D4716C">
        <w:rPr>
          <w:rFonts w:ascii="Calibri" w:hAnsi="Calibri"/>
          <w:color w:val="0D0D0D" w:themeColor="text1" w:themeTint="F2"/>
        </w:rPr>
        <w:t xml:space="preserve">zaistnienia szkody </w:t>
      </w:r>
      <w:r w:rsidR="00820C41">
        <w:rPr>
          <w:rFonts w:ascii="Calibri" w:hAnsi="Calibri"/>
          <w:color w:val="0D0D0D" w:themeColor="text1" w:themeTint="F2"/>
        </w:rPr>
        <w:t>auto-casco</w:t>
      </w:r>
      <w:r w:rsidRPr="00D4716C">
        <w:rPr>
          <w:rFonts w:cstheme="minorHAnsi"/>
          <w:color w:val="0D0D0D" w:themeColor="text1" w:themeTint="F2"/>
        </w:rPr>
        <w:t xml:space="preserve">, Zamawiający </w:t>
      </w:r>
      <w:r w:rsidR="00460F5C" w:rsidRPr="00460F5C">
        <w:rPr>
          <w:rFonts w:cstheme="minorHAnsi"/>
          <w:color w:val="0D0D0D" w:themeColor="text1" w:themeTint="F2"/>
        </w:rPr>
        <w:t>ma obowiązek powiadomić Wykonawcę o jej zaistnieniu</w:t>
      </w:r>
      <w:r w:rsidRPr="00D4716C">
        <w:rPr>
          <w:rFonts w:cstheme="minorHAnsi"/>
          <w:color w:val="0D0D0D" w:themeColor="text1" w:themeTint="F2"/>
        </w:rPr>
        <w:t xml:space="preserve">, nie później niż w ciągu </w:t>
      </w:r>
      <w:r w:rsidRPr="00322091">
        <w:rPr>
          <w:rFonts w:cstheme="minorHAnsi"/>
          <w:b/>
          <w:bCs/>
          <w:color w:val="0070C0"/>
        </w:rPr>
        <w:t xml:space="preserve">14 dni </w:t>
      </w:r>
      <w:r w:rsidR="00322091" w:rsidRPr="00322091">
        <w:rPr>
          <w:rFonts w:cstheme="minorHAnsi"/>
          <w:b/>
          <w:bCs/>
          <w:color w:val="0070C0"/>
        </w:rPr>
        <w:t>kalendarzowych</w:t>
      </w:r>
      <w:r w:rsidR="00322091" w:rsidRPr="00322091">
        <w:rPr>
          <w:rFonts w:cstheme="minorHAnsi"/>
          <w:color w:val="0070C0"/>
        </w:rPr>
        <w:t xml:space="preserve"> </w:t>
      </w:r>
      <w:r w:rsidRPr="00D4716C">
        <w:rPr>
          <w:rFonts w:cstheme="minorHAnsi"/>
          <w:color w:val="0D0D0D" w:themeColor="text1" w:themeTint="F2"/>
        </w:rPr>
        <w:t xml:space="preserve">od </w:t>
      </w:r>
      <w:r w:rsidR="00A91BDF" w:rsidRPr="00D4716C">
        <w:rPr>
          <w:rFonts w:ascii="Calibri" w:hAnsi="Calibri" w:cs="Tahoma"/>
          <w:color w:val="0D0D0D" w:themeColor="text1" w:themeTint="F2"/>
        </w:rPr>
        <w:t xml:space="preserve"> chwili uzyskania wiadomości o szkodzie, podając rodzaj i rozmiar szkody.</w:t>
      </w:r>
    </w:p>
    <w:p w14:paraId="7352BB54"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gdy istnieje podejrzenie, iż szkoda jest wynikiem przestępstwa Zamawiający zobowiązany jest powiadomić Policję. </w:t>
      </w:r>
    </w:p>
    <w:p w14:paraId="62127450" w14:textId="2B2DDE88"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ascii="Calibri" w:hAnsi="Calibri"/>
          <w:color w:val="0D0D0D" w:themeColor="text1" w:themeTint="F2"/>
        </w:rPr>
      </w:pPr>
      <w:r w:rsidRPr="00D4716C">
        <w:rPr>
          <w:rFonts w:cstheme="minorHAnsi"/>
          <w:color w:val="0D0D0D" w:themeColor="text1" w:themeTint="F2"/>
        </w:rPr>
        <w:t xml:space="preserve">W przypadku szkody Wykonawca zobowiązany jest do dokonania oględzin w terminie nie dłuższym niż 3 dni robocze od momentu zgłoszenia szkody, o ile uzna, że oględziny są konieczne. </w:t>
      </w:r>
      <w:r w:rsidR="00C35E8E" w:rsidRPr="0071466F">
        <w:rPr>
          <w:rFonts w:cstheme="minorHAnsi"/>
        </w:rPr>
        <w:t>Przez pojęcie dnia roboczego przyjmuje się każdy dzień od poniedziałku do piątku, chyba że któryś z tych dni jest ustawowo wolny od pracy</w:t>
      </w:r>
      <w:r w:rsidR="00C35E8E">
        <w:rPr>
          <w:rFonts w:cstheme="minorHAnsi"/>
        </w:rPr>
        <w:t>.</w:t>
      </w:r>
      <w:r w:rsidR="00C35E8E" w:rsidRPr="00D4716C">
        <w:rPr>
          <w:rFonts w:ascii="Calibri" w:hAnsi="Calibri"/>
          <w:color w:val="0D0D0D" w:themeColor="text1" w:themeTint="F2"/>
        </w:rPr>
        <w:t xml:space="preserve"> </w:t>
      </w:r>
      <w:r w:rsidRPr="00D4716C">
        <w:rPr>
          <w:rFonts w:ascii="Calibri" w:hAnsi="Calibri"/>
          <w:color w:val="0D0D0D" w:themeColor="text1" w:themeTint="F2"/>
        </w:rPr>
        <w:t>Wykonawca dokona weryfikacji kosztorysu w terminie 7 dni roboczych od momentu przedłożenia go przez Zamawiającego.</w:t>
      </w:r>
    </w:p>
    <w:p w14:paraId="0703ED8A" w14:textId="39BC0C17" w:rsidR="00921209" w:rsidRPr="00D4716C" w:rsidRDefault="00921209"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Kwota należnego odszkodowania z tytułu umowy ubezpieczenia </w:t>
      </w:r>
      <w:r w:rsidR="00820C41">
        <w:rPr>
          <w:rFonts w:cstheme="minorHAnsi"/>
          <w:color w:val="0D0D0D" w:themeColor="text1" w:themeTint="F2"/>
        </w:rPr>
        <w:t>auto-casco</w:t>
      </w:r>
      <w:r w:rsidRPr="00D4716C">
        <w:rPr>
          <w:rFonts w:cstheme="minorHAnsi"/>
          <w:color w:val="0D0D0D" w:themeColor="text1" w:themeTint="F2"/>
        </w:rPr>
        <w:t xml:space="preserve"> zostanie przekazana na rachunek bankowy wskazany przez Zamawiającego.</w:t>
      </w:r>
    </w:p>
    <w:p w14:paraId="52D8DB4A"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D4716C" w:rsidRDefault="009F7814"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Na wniosek Zamawiającego Wykonawca udostępnieni informac</w:t>
      </w:r>
      <w:r w:rsidR="00B0142E" w:rsidRPr="00D4716C">
        <w:rPr>
          <w:rFonts w:cstheme="minorHAnsi"/>
          <w:color w:val="0D0D0D" w:themeColor="text1" w:themeTint="F2"/>
        </w:rPr>
        <w:t>je na temat zgłaszanych szkód i </w:t>
      </w:r>
      <w:r w:rsidRPr="00D4716C">
        <w:rPr>
          <w:rFonts w:cstheme="minorHAnsi"/>
          <w:color w:val="0D0D0D" w:themeColor="text1" w:themeTint="F2"/>
        </w:rPr>
        <w:t xml:space="preserve">wartości wypłaconych odszkodowań oraz rezerw. </w:t>
      </w:r>
      <w:r w:rsidR="00640FEA" w:rsidRPr="00D4716C">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w:t>
      </w:r>
      <w:r w:rsidRPr="00D4716C">
        <w:rPr>
          <w:rFonts w:cstheme="minorHAnsi"/>
          <w:color w:val="0D0D0D" w:themeColor="text1" w:themeTint="F2"/>
        </w:rPr>
        <w:lastRenderedPageBreak/>
        <w:t xml:space="preserve">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77777777" w:rsidR="00BC2E03" w:rsidRPr="00D4716C" w:rsidRDefault="00BC2E03" w:rsidP="002649BF">
      <w:pPr>
        <w:pStyle w:val="Tekstpodstawowywcity"/>
        <w:numPr>
          <w:ilvl w:val="1"/>
          <w:numId w:val="14"/>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2649BF">
      <w:pPr>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2649BF">
      <w:pPr>
        <w:spacing w:after="12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1685D284" w:rsidR="00BC2E03" w:rsidRPr="00D4716C" w:rsidRDefault="00BC2E03" w:rsidP="002649BF">
      <w:pPr>
        <w:tabs>
          <w:tab w:val="left" w:pos="284"/>
        </w:tabs>
        <w:spacing w:after="120" w:line="271" w:lineRule="auto"/>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Ochrona ubezpieczeniowa nie wygasa, lecz jest kontynuowana na dotychczasowych warunkach w przypadku przewłaszczenia na zabezpieczenie </w:t>
      </w:r>
      <w:r w:rsidR="00771A51">
        <w:rPr>
          <w:rFonts w:ascii="Calibri" w:eastAsia="Times New Roman" w:hAnsi="Calibri" w:cs="Tahoma"/>
          <w:color w:val="0D0D0D" w:themeColor="text1" w:themeTint="F2"/>
        </w:rPr>
        <w:t>pojazdu</w:t>
      </w:r>
      <w:r w:rsidRPr="00D4716C">
        <w:rPr>
          <w:rFonts w:ascii="Calibri" w:eastAsia="Times New Roman" w:hAnsi="Calibri" w:cs="Tahoma"/>
          <w:color w:val="0D0D0D" w:themeColor="text1" w:themeTint="F2"/>
        </w:rPr>
        <w:t xml:space="preserve">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932ED4E" w14:textId="15F9FB95" w:rsidR="00023EAA" w:rsidRPr="00D4716C" w:rsidRDefault="00023EAA"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D4716C" w:rsidRDefault="00023EAA" w:rsidP="002649BF">
      <w:pPr>
        <w:pStyle w:val="Tekstpodstawowy"/>
        <w:spacing w:after="120" w:line="271" w:lineRule="auto"/>
        <w:jc w:val="center"/>
        <w:rPr>
          <w:rFonts w:asciiTheme="minorHAnsi" w:eastAsiaTheme="minorHAnsi" w:hAnsiTheme="minorHAnsi" w:cstheme="minorHAnsi"/>
          <w:b/>
          <w:color w:val="0D0D0D" w:themeColor="text1" w:themeTint="F2"/>
          <w:sz w:val="22"/>
          <w:szCs w:val="22"/>
          <w:lang w:eastAsia="en-US"/>
        </w:rPr>
      </w:pPr>
      <w:r w:rsidRPr="00D4716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D4716C">
        <w:rPr>
          <w:rFonts w:asciiTheme="minorHAnsi" w:eastAsiaTheme="minorHAnsi" w:hAnsiTheme="minorHAnsi" w:cstheme="minorHAnsi"/>
          <w:b/>
          <w:color w:val="0D0D0D" w:themeColor="text1" w:themeTint="F2"/>
          <w:sz w:val="22"/>
          <w:szCs w:val="22"/>
          <w:lang w:eastAsia="en-US"/>
        </w:rPr>
        <w:t xml:space="preserve"> </w:t>
      </w:r>
      <w:r w:rsidRPr="00D4716C">
        <w:rPr>
          <w:rFonts w:asciiTheme="minorHAnsi" w:eastAsiaTheme="minorHAnsi" w:hAnsiTheme="minorHAnsi" w:cstheme="minorHAnsi"/>
          <w:b/>
          <w:color w:val="0D0D0D" w:themeColor="text1" w:themeTint="F2"/>
          <w:sz w:val="22"/>
          <w:szCs w:val="22"/>
          <w:lang w:eastAsia="en-US"/>
        </w:rPr>
        <w:t>ustawy Prawo zamówień publicznych</w:t>
      </w:r>
    </w:p>
    <w:p w14:paraId="7F7F0C36" w14:textId="4D7897C7" w:rsidR="00FB0C95" w:rsidRPr="002D156D" w:rsidRDefault="00FB0C95"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2D156D">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 wysokości do </w:t>
      </w:r>
      <w:r w:rsidR="00DB568D" w:rsidRPr="002D156D">
        <w:rPr>
          <w:rFonts w:cstheme="minorHAnsi"/>
          <w:color w:val="0D0D0D" w:themeColor="text1" w:themeTint="F2"/>
        </w:rPr>
        <w:t>5</w:t>
      </w:r>
      <w:r w:rsidR="00983E45" w:rsidRPr="002D156D">
        <w:rPr>
          <w:rFonts w:cstheme="minorHAnsi"/>
          <w:color w:val="0D0D0D" w:themeColor="text1" w:themeTint="F2"/>
        </w:rPr>
        <w:t>0</w:t>
      </w:r>
      <w:r w:rsidRPr="002D156D">
        <w:rPr>
          <w:rFonts w:cstheme="minorHAnsi"/>
          <w:color w:val="0D0D0D" w:themeColor="text1" w:themeTint="F2"/>
        </w:rPr>
        <w:t xml:space="preserve">% wartości zamówienia podstawowego. </w:t>
      </w:r>
    </w:p>
    <w:p w14:paraId="48046F06" w14:textId="3042A8D5" w:rsidR="00FB0C95" w:rsidRPr="002D156D" w:rsidRDefault="00FB0C95"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2D156D">
        <w:rPr>
          <w:rFonts w:cstheme="minorHAnsi"/>
          <w:color w:val="0D0D0D" w:themeColor="text1" w:themeTint="F2"/>
        </w:rPr>
        <w:t xml:space="preserve">Zakres zamówień wskazanych w pkt 1 może obejmować: </w:t>
      </w:r>
    </w:p>
    <w:p w14:paraId="758ED149" w14:textId="02FFE1FF" w:rsidR="00771A51" w:rsidRPr="00771A51" w:rsidRDefault="00771A51" w:rsidP="002649BF">
      <w:pPr>
        <w:pStyle w:val="Tekstpodstawowywcity"/>
        <w:numPr>
          <w:ilvl w:val="0"/>
          <w:numId w:val="20"/>
        </w:numPr>
        <w:suppressAutoHyphens/>
        <w:spacing w:line="271" w:lineRule="auto"/>
        <w:jc w:val="both"/>
        <w:rPr>
          <w:rFonts w:cstheme="minorHAnsi"/>
          <w:color w:val="0D0D0D" w:themeColor="text1" w:themeTint="F2"/>
        </w:rPr>
      </w:pPr>
      <w:r w:rsidRPr="002D156D">
        <w:rPr>
          <w:rFonts w:cstheme="minorHAnsi"/>
        </w:rPr>
        <w:t>ubezpieczenia nowo</w:t>
      </w:r>
      <w:r w:rsidRPr="00771A51">
        <w:rPr>
          <w:rFonts w:cstheme="minorHAnsi"/>
        </w:rPr>
        <w:t xml:space="preserve"> nabytych pojazdów</w:t>
      </w:r>
      <w:r>
        <w:rPr>
          <w:rFonts w:cstheme="minorHAnsi"/>
        </w:rPr>
        <w:t>,</w:t>
      </w:r>
    </w:p>
    <w:p w14:paraId="27E96313" w14:textId="37F9646F" w:rsidR="00FB0C95" w:rsidRPr="00771A51"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771A51">
        <w:rPr>
          <w:rFonts w:cstheme="minorHAnsi"/>
          <w:color w:val="0D0D0D" w:themeColor="text1" w:themeTint="F2"/>
        </w:rPr>
        <w:t xml:space="preserve">uzupełnienie limitów ochrony, sumy ubezpieczenia określonej w systemie na pierwsze ryzyko lub sumy </w:t>
      </w:r>
      <w:r w:rsidR="00BC2E03" w:rsidRPr="00771A51">
        <w:rPr>
          <w:rFonts w:cstheme="minorHAnsi"/>
          <w:color w:val="0D0D0D" w:themeColor="text1" w:themeTint="F2"/>
        </w:rPr>
        <w:t xml:space="preserve">ubezpieczenia </w:t>
      </w:r>
      <w:r w:rsidRPr="00771A51">
        <w:rPr>
          <w:rFonts w:cstheme="minorHAnsi"/>
          <w:color w:val="0D0D0D" w:themeColor="text1" w:themeTint="F2"/>
        </w:rPr>
        <w:t xml:space="preserve">po wypłacie odszkodowania, </w:t>
      </w:r>
    </w:p>
    <w:p w14:paraId="3BF8AE06" w14:textId="090FBD51"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76CA66E7" w:rsidR="00921209" w:rsidRPr="00D4716C" w:rsidRDefault="00921209"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C35E8E">
        <w:rPr>
          <w:rFonts w:cstheme="minorHAnsi"/>
          <w:color w:val="0D0D0D" w:themeColor="text1" w:themeTint="F2"/>
        </w:rPr>
        <w:t>zakresu</w:t>
      </w:r>
      <w:r w:rsidRPr="00D4716C">
        <w:rPr>
          <w:rFonts w:cstheme="minorHAnsi"/>
          <w:color w:val="0D0D0D" w:themeColor="text1" w:themeTint="F2"/>
        </w:rPr>
        <w:t xml:space="preserve"> zamówienia</w:t>
      </w:r>
      <w:r w:rsidR="00C35E8E">
        <w:rPr>
          <w:rFonts w:cstheme="minorHAnsi"/>
          <w:color w:val="0D0D0D" w:themeColor="text1" w:themeTint="F2"/>
        </w:rPr>
        <w:t xml:space="preserve"> wskazanego w pkt. 2</w:t>
      </w:r>
      <w:r w:rsidRPr="00D4716C">
        <w:rPr>
          <w:rFonts w:cstheme="minorHAnsi"/>
          <w:color w:val="0D0D0D" w:themeColor="text1" w:themeTint="F2"/>
        </w:rPr>
        <w:t xml:space="preserve"> zastosowanie mieć będą poniżej określone warunki, na których zostanie ono udzielone. W przypadku gdy przedmiotem zamówienia będzie:</w:t>
      </w:r>
    </w:p>
    <w:p w14:paraId="0E192DFC" w14:textId="6E502E0F" w:rsidR="00921209" w:rsidRPr="00D4716C" w:rsidRDefault="00921209"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ubezpieczenie </w:t>
      </w:r>
      <w:r w:rsidR="00771A51" w:rsidRPr="00630083">
        <w:rPr>
          <w:rFonts w:cstheme="minorHAnsi"/>
        </w:rPr>
        <w:t xml:space="preserve">nowo nabytego pojazdu </w:t>
      </w:r>
      <w:r w:rsidRPr="00D4716C">
        <w:rPr>
          <w:rFonts w:cstheme="minorHAnsi"/>
          <w:color w:val="0D0D0D" w:themeColor="text1" w:themeTint="F2"/>
        </w:rPr>
        <w:t>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6B43E9C2" w:rsidR="00FB0C95" w:rsidRDefault="00FB0C95"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C35E8E">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458FF416" w14:textId="0D91C10A" w:rsidR="00FE31D4" w:rsidRPr="00D4716C" w:rsidRDefault="00FE31D4" w:rsidP="002649BF">
      <w:pPr>
        <w:pStyle w:val="Tekstpodstawowywcity"/>
        <w:numPr>
          <w:ilvl w:val="1"/>
          <w:numId w:val="19"/>
        </w:numPr>
        <w:tabs>
          <w:tab w:val="clear" w:pos="0"/>
          <w:tab w:val="num" w:pos="284"/>
        </w:tabs>
        <w:suppressAutoHyphens/>
        <w:spacing w:line="271" w:lineRule="auto"/>
        <w:ind w:left="284" w:hanging="284"/>
        <w:jc w:val="both"/>
        <w:rPr>
          <w:rFonts w:cstheme="minorHAnsi"/>
          <w:color w:val="0D0D0D" w:themeColor="text1" w:themeTint="F2"/>
        </w:rPr>
      </w:pPr>
      <w:r w:rsidRPr="00FE31D4">
        <w:rPr>
          <w:rFonts w:cstheme="minorHAnsi"/>
          <w:color w:val="0D0D0D" w:themeColor="text1" w:themeTint="F2"/>
        </w:rPr>
        <w:lastRenderedPageBreak/>
        <w:t>W przypadku skorzystania przez Zamawiającego z możliwości udzielenia zamówienia z wolnej ręki, o której mowa w ust. 1, Wykonawca zobowiązuje się do zawarcia umowy na warunkach określonych w niniejszym paragrafie.</w:t>
      </w:r>
    </w:p>
    <w:p w14:paraId="0F578A09" w14:textId="3BD9774B" w:rsidR="009F7814" w:rsidRPr="00D4716C" w:rsidRDefault="00F762D9"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2649BF">
      <w:pPr>
        <w:pStyle w:val="Tekstpodstawowy"/>
        <w:spacing w:after="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2649BF">
      <w:pPr>
        <w:pStyle w:val="Tekstpodstawowywcity"/>
        <w:spacing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4C3807F1" w:rsidR="009F7814" w:rsidRPr="00D4716C" w:rsidRDefault="00F652C5"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0500C">
        <w:rPr>
          <w:rFonts w:cstheme="minorHAnsi"/>
          <w:b/>
          <w:bCs/>
          <w:color w:val="0D0D0D" w:themeColor="text1" w:themeTint="F2"/>
        </w:rPr>
        <w:t xml:space="preserve"> </w:t>
      </w:r>
      <w:r w:rsidRPr="00D4716C">
        <w:rPr>
          <w:rFonts w:cstheme="minorHAnsi"/>
          <w:b/>
          <w:bCs/>
          <w:color w:val="0D0D0D" w:themeColor="text1" w:themeTint="F2"/>
        </w:rPr>
        <w:t>455</w:t>
      </w:r>
      <w:r w:rsidR="000130F4">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CD039C5" w14:textId="2382853E" w:rsidR="002A6BE0" w:rsidRDefault="002A6BE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30A16299" w14:textId="77777777" w:rsidR="00771A51" w:rsidRPr="00771A51" w:rsidRDefault="00771A51" w:rsidP="002649BF">
      <w:pPr>
        <w:pStyle w:val="Tekstpodstawowywcity"/>
        <w:numPr>
          <w:ilvl w:val="0"/>
          <w:numId w:val="20"/>
        </w:numPr>
        <w:suppressAutoHyphens/>
        <w:spacing w:line="271" w:lineRule="auto"/>
        <w:jc w:val="both"/>
        <w:rPr>
          <w:rFonts w:cstheme="minorHAnsi"/>
          <w:color w:val="0D0D0D" w:themeColor="text1" w:themeTint="F2"/>
        </w:rPr>
      </w:pPr>
      <w:r w:rsidRPr="00771A51">
        <w:rPr>
          <w:rFonts w:cstheme="minorHAnsi"/>
          <w:color w:val="0D0D0D" w:themeColor="text1" w:themeTint="F2"/>
        </w:rPr>
        <w:t>zmiana (zwiększenie lub zmniejszenie) posiadanej floty,</w:t>
      </w:r>
    </w:p>
    <w:p w14:paraId="42E7DA11" w14:textId="15357947" w:rsidR="002A6BE0" w:rsidRPr="00D4716C" w:rsidRDefault="002A6BE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2649BF">
      <w:pPr>
        <w:pStyle w:val="Tekstpodstawowywcity"/>
        <w:numPr>
          <w:ilvl w:val="0"/>
          <w:numId w:val="20"/>
        </w:numPr>
        <w:suppressAutoHyphens/>
        <w:spacing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2E0A3016" w:rsidR="002A6BE0" w:rsidRPr="00D4716C" w:rsidRDefault="002A6BE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potrzeba wydłużenia terminu realizacji umowy na wniosek Zamawiającego maksymalnie o 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799CEF4D" w14:textId="14954520" w:rsidR="002A6BE0" w:rsidRPr="00D4716C" w:rsidRDefault="002A6BE0" w:rsidP="002649BF">
      <w:pPr>
        <w:numPr>
          <w:ilvl w:val="1"/>
          <w:numId w:val="10"/>
        </w:numPr>
        <w:tabs>
          <w:tab w:val="left" w:pos="709"/>
        </w:tabs>
        <w:spacing w:after="12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276B9CB5" w:rsidR="009F7814" w:rsidRPr="00D4716C" w:rsidRDefault="009F7814" w:rsidP="002649BF">
      <w:pPr>
        <w:numPr>
          <w:ilvl w:val="0"/>
          <w:numId w:val="10"/>
        </w:numPr>
        <w:tabs>
          <w:tab w:val="left" w:pos="284"/>
        </w:tabs>
        <w:suppressAutoHyphens/>
        <w:spacing w:after="120" w:line="271" w:lineRule="auto"/>
        <w:ind w:left="284" w:hanging="284"/>
        <w:jc w:val="both"/>
        <w:rPr>
          <w:rFonts w:cstheme="minorHAnsi"/>
          <w:color w:val="0D0D0D" w:themeColor="text1" w:themeTint="F2"/>
        </w:rPr>
      </w:pPr>
      <w:r w:rsidRPr="00D4716C">
        <w:rPr>
          <w:rFonts w:cstheme="minorHAnsi"/>
          <w:color w:val="0D0D0D" w:themeColor="text1" w:themeTint="F2"/>
        </w:rPr>
        <w:t>Wystąpienie którejkolwiek z wymienionych okoliczności nie stanowi zobowiązania Stron do wprowadzenia zmiany.</w:t>
      </w:r>
    </w:p>
    <w:p w14:paraId="375D06C2" w14:textId="061C4E70" w:rsidR="009F7814" w:rsidRPr="00D4716C" w:rsidRDefault="00C35E8E"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color w:val="0D0D0D" w:themeColor="text1" w:themeTint="F2"/>
        </w:rPr>
      </w:pPr>
      <w:r w:rsidRPr="0071466F">
        <w:rPr>
          <w:rFonts w:cstheme="minorHAnsi"/>
        </w:rPr>
        <w:t>Zgodnie z art. 436 pkt. 4 ustawy PZP w</w:t>
      </w:r>
      <w:r w:rsidRPr="00396534">
        <w:t xml:space="preserve"> </w:t>
      </w:r>
      <w:r w:rsidR="009F7814" w:rsidRPr="00D4716C">
        <w:rPr>
          <w:rFonts w:cstheme="minorHAnsi"/>
          <w:color w:val="0D0D0D" w:themeColor="text1" w:themeTint="F2"/>
        </w:rPr>
        <w:t>przypadku wystąpienia poniższych okoliczności:</w:t>
      </w:r>
    </w:p>
    <w:p w14:paraId="06D91201" w14:textId="087A8A3D"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lastRenderedPageBreak/>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77777777"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zmiany zasad podlegania ubezpieczeniom społecznym lub ubezpieczeniu zdrowotnemu łub wysokości stawki składki na ubezpieczenia społeczne łub zdrowotne,</w:t>
      </w:r>
    </w:p>
    <w:p w14:paraId="23A640AD" w14:textId="03A925A6" w:rsidR="009F7814" w:rsidRPr="00D4716C" w:rsidRDefault="009F7814" w:rsidP="002649BF">
      <w:pPr>
        <w:numPr>
          <w:ilvl w:val="1"/>
          <w:numId w:val="10"/>
        </w:numPr>
        <w:tabs>
          <w:tab w:val="left" w:pos="709"/>
        </w:tabs>
        <w:autoSpaceDE w:val="0"/>
        <w:autoSpaceDN w:val="0"/>
        <w:adjustRightInd w:val="0"/>
        <w:spacing w:after="12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40D6A70B" w:rsidR="009F7814" w:rsidRPr="00D4716C" w:rsidRDefault="009F7814" w:rsidP="002649BF">
      <w:pPr>
        <w:tabs>
          <w:tab w:val="left" w:pos="426"/>
        </w:tabs>
        <w:autoSpaceDE w:val="0"/>
        <w:autoSpaceDN w:val="0"/>
        <w:adjustRightInd w:val="0"/>
        <w:spacing w:after="12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C35E8E" w:rsidRPr="00C35E8E">
        <w:rPr>
          <w:rFonts w:cstheme="minorHAnsi"/>
        </w:rPr>
        <w:t xml:space="preserve"> </w:t>
      </w:r>
      <w:r w:rsidR="00C35E8E" w:rsidRPr="0071466F">
        <w:rPr>
          <w:rFonts w:cstheme="minorHAnsi"/>
        </w:rPr>
        <w:t>pod warunkiem iż zmiany określone w pkt 3.1-3.4 będą miały wpływ na koszty wykonania umowy przez Wykonawcę</w:t>
      </w:r>
      <w:r w:rsidRPr="00D4716C">
        <w:rPr>
          <w:rFonts w:cstheme="minorHAnsi"/>
          <w:color w:val="0D0D0D" w:themeColor="text1" w:themeTint="F2"/>
        </w:rPr>
        <w:t>. Zamawiający ustosunkuje się do wniosku Wykonawcy w ciągu 30 dni od daty jego złożenia.</w:t>
      </w:r>
    </w:p>
    <w:p w14:paraId="764CD5A1" w14:textId="1803B08A" w:rsidR="00391EAE" w:rsidRPr="00D4716C" w:rsidRDefault="009F7814"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w:t>
      </w:r>
      <w:r w:rsidR="00C35E8E">
        <w:rPr>
          <w:rFonts w:cstheme="minorHAnsi"/>
          <w:color w:val="0D0D0D" w:themeColor="text1" w:themeTint="F2"/>
        </w:rPr>
        <w:t xml:space="preserve">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.1</w:t>
      </w:r>
      <w:r w:rsidR="00C35E8E">
        <w:rPr>
          <w:rFonts w:cstheme="minorHAnsi"/>
          <w:color w:val="0D0D0D" w:themeColor="text1" w:themeTint="F2"/>
        </w:rPr>
        <w:t xml:space="preserve"> </w:t>
      </w:r>
      <w:r w:rsidR="00C35E8E" w:rsidRPr="0071466F">
        <w:rPr>
          <w:rFonts w:cstheme="minorHAnsi"/>
        </w:rPr>
        <w:t>niniejszego paragrafu</w:t>
      </w:r>
      <w:r w:rsidRPr="00D4716C">
        <w:rPr>
          <w:rFonts w:cstheme="minorHAnsi"/>
          <w:color w:val="0D0D0D" w:themeColor="text1" w:themeTint="F2"/>
        </w:rPr>
        <w:t xml:space="preserve"> 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00209092" w:rsidR="00921209" w:rsidRPr="00D4716C" w:rsidRDefault="009F7814" w:rsidP="002649BF">
      <w:pPr>
        <w:tabs>
          <w:tab w:val="left" w:pos="284"/>
        </w:tabs>
        <w:autoSpaceDE w:val="0"/>
        <w:autoSpaceDN w:val="0"/>
        <w:adjustRightInd w:val="0"/>
        <w:spacing w:after="120" w:line="271" w:lineRule="auto"/>
        <w:ind w:left="284"/>
        <w:jc w:val="both"/>
        <w:rPr>
          <w:rFonts w:cstheme="minorHAnsi"/>
          <w:color w:val="0D0D0D" w:themeColor="text1" w:themeTint="F2"/>
        </w:rPr>
      </w:pPr>
      <w:r w:rsidRPr="00D4716C">
        <w:rPr>
          <w:rFonts w:cstheme="minorHAnsi"/>
          <w:color w:val="0D0D0D" w:themeColor="text1" w:themeTint="F2"/>
        </w:rPr>
        <w:t>W przypadku gdyby Wykonawca chciał skorzystać z możliwości zmiany wynagrodzenia</w:t>
      </w:r>
      <w:r w:rsidR="00B0142E" w:rsidRPr="00D4716C">
        <w:rPr>
          <w:rFonts w:cstheme="minorHAnsi"/>
          <w:color w:val="0D0D0D" w:themeColor="text1" w:themeTint="F2"/>
        </w:rPr>
        <w:t xml:space="preserve"> w </w:t>
      </w:r>
      <w:r w:rsidR="00F652C5" w:rsidRPr="00D4716C">
        <w:rPr>
          <w:rFonts w:cstheme="minorHAnsi"/>
          <w:color w:val="0D0D0D" w:themeColor="text1" w:themeTint="F2"/>
        </w:rPr>
        <w:t>sytuacjach, o których mowa w </w:t>
      </w:r>
      <w:r w:rsidR="00C35E8E">
        <w:rPr>
          <w:rFonts w:cstheme="minorHAnsi"/>
          <w:color w:val="0D0D0D" w:themeColor="text1" w:themeTint="F2"/>
        </w:rPr>
        <w:t xml:space="preserve">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.4.</w:t>
      </w:r>
      <w:r w:rsidR="00C35E8E">
        <w:rPr>
          <w:rFonts w:cstheme="minorHAnsi"/>
          <w:color w:val="0D0D0D" w:themeColor="text1" w:themeTint="F2"/>
        </w:rPr>
        <w:t xml:space="preserve"> </w:t>
      </w:r>
      <w:r w:rsidR="00C35E8E" w:rsidRPr="0071466F">
        <w:rPr>
          <w:rFonts w:cstheme="minorHAnsi"/>
        </w:rPr>
        <w:t>niniejszego paragrafu</w:t>
      </w:r>
      <w:r w:rsidRPr="00D4716C">
        <w:rPr>
          <w:rFonts w:cstheme="minorHAnsi"/>
          <w:color w:val="0D0D0D" w:themeColor="text1" w:themeTint="F2"/>
        </w:rPr>
        <w:t xml:space="preserve"> 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4FAA05CE" w14:textId="36644E7E" w:rsidR="009F7814" w:rsidRPr="00D4716C" w:rsidRDefault="00391EAE" w:rsidP="002649BF">
      <w:pPr>
        <w:tabs>
          <w:tab w:val="left" w:pos="284"/>
        </w:tabs>
        <w:autoSpaceDE w:val="0"/>
        <w:autoSpaceDN w:val="0"/>
        <w:adjustRightInd w:val="0"/>
        <w:spacing w:after="12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C35E8E">
        <w:rPr>
          <w:rFonts w:cstheme="minorHAnsi"/>
          <w:color w:val="0D0D0D" w:themeColor="text1" w:themeTint="F2"/>
        </w:rPr>
        <w:t xml:space="preserve"> </w:t>
      </w:r>
      <w:r w:rsidR="00C35E8E" w:rsidRPr="0071466F">
        <w:rPr>
          <w:rFonts w:cstheme="minorHAnsi"/>
        </w:rPr>
        <w:t>Zmiana umowy w zakresie zmiany wynagrodzenia z przyczyn określonych w ust.3 pkt 3.1-3.4  niniejszego paragrafu obejmować będzie wyłącznie płatności za usługi, których w dniu zmiany umowy jeszcze nie wykonano</w:t>
      </w:r>
    </w:p>
    <w:p w14:paraId="0FB69D70" w14:textId="3A6F109B" w:rsidR="00C35E8E" w:rsidRPr="0071466F" w:rsidRDefault="00C35E8E" w:rsidP="002649BF">
      <w:pPr>
        <w:pStyle w:val="Tekstpodstawowywcity"/>
        <w:numPr>
          <w:ilvl w:val="0"/>
          <w:numId w:val="10"/>
        </w:numPr>
        <w:suppressAutoHyphens/>
        <w:spacing w:line="271" w:lineRule="auto"/>
        <w:jc w:val="both"/>
        <w:rPr>
          <w:rFonts w:cstheme="minorHAnsi"/>
        </w:rPr>
      </w:pPr>
      <w:r w:rsidRPr="0071466F">
        <w:rPr>
          <w:rFonts w:eastAsia="Times New Roman" w:cs="Segoe UI"/>
          <w:szCs w:val="24"/>
          <w:lang w:eastAsia="pl-PL"/>
        </w:rPr>
        <w:t xml:space="preserve">Zgodnie z art. 439 ust. </w:t>
      </w:r>
      <w:r w:rsidRPr="0071466F">
        <w:rPr>
          <w:rFonts w:eastAsia="Times New Roman" w:cs="Segoe UI"/>
          <w:lang w:eastAsia="pl-PL"/>
        </w:rPr>
        <w:t xml:space="preserve">1 i 2 ustawy PZP </w:t>
      </w:r>
      <w:r w:rsidRPr="0071466F">
        <w:rPr>
          <w:rFonts w:cstheme="minorHAnsi"/>
        </w:rPr>
        <w:t>w przypadku zmiany ceny materiałów lub kosztów związanych z realizacją zamówienia</w:t>
      </w:r>
      <w:r w:rsidRPr="0071466F">
        <w:rPr>
          <w:szCs w:val="24"/>
        </w:rPr>
        <w:t xml:space="preserve"> względem cen lub kosztów przyjętych  w celu ustalenia wynagrodzenia Wykonawcy określonego w ofercie- lub też względem cen określonych w aneksie zawartym zgodnie z pkt 6.6.</w:t>
      </w:r>
      <w:r w:rsidRPr="0071466F">
        <w:rPr>
          <w:rFonts w:cstheme="minorHAnsi"/>
        </w:rPr>
        <w:t xml:space="preserve">, </w:t>
      </w:r>
      <w:bookmarkStart w:id="0" w:name="_Hlk156760462"/>
      <w:r w:rsidRPr="0071466F">
        <w:rPr>
          <w:rFonts w:cstheme="minorHAnsi"/>
        </w:rPr>
        <w:t>które mają wpływ na koszt realizacji zamówienia</w:t>
      </w:r>
      <w:bookmarkEnd w:id="0"/>
      <w:r w:rsidRPr="0071466F">
        <w:rPr>
          <w:rFonts w:cstheme="minorHAnsi"/>
        </w:rPr>
        <w:t xml:space="preserve"> (</w:t>
      </w:r>
      <w:bookmarkStart w:id="1" w:name="_Hlk156760908"/>
      <w:r w:rsidRPr="0071466F">
        <w:rPr>
          <w:rFonts w:cstheme="minorHAnsi"/>
        </w:rPr>
        <w:t>zarówno w wypadku inflacji jak i deflacji</w:t>
      </w:r>
      <w:bookmarkEnd w:id="1"/>
      <w:r w:rsidRPr="0071466F">
        <w:rPr>
          <w:rFonts w:cstheme="minorHAnsi"/>
        </w:rPr>
        <w:t>), Strony dopuszczają zmianę wynagrodzenia Wykonawcy na następujących warunkach:</w:t>
      </w:r>
    </w:p>
    <w:p w14:paraId="6BC27F2B"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10%; </w:t>
      </w:r>
      <w:bookmarkStart w:id="2" w:name="_Hlk156760531"/>
      <w:r w:rsidRPr="0071466F">
        <w:t>W przypadku gdyby wskaźniki przestały być dostępne, zastosowanie znajdą inne, najbardziej zbliżone, wskaźniki publikowane przez Prezesa GUS.</w:t>
      </w:r>
    </w:p>
    <w:bookmarkEnd w:id="2"/>
    <w:p w14:paraId="1F957847"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lastRenderedPageBreak/>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443405BF"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1ACD54F1"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Zmiana wynagrodzenia następuje wyłącznie na wniosek Strony  zawierający uzasadnienie w zakresie wpływu zmiany cen towarów i usług na koszt realizacji zamówienia, z zachowaniem postanowień ust. 6.</w:t>
      </w:r>
    </w:p>
    <w:p w14:paraId="5240723F"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Waloryzacja wynagrodzenia Wykonawcy może nastąpić wyłącznie w zakresie kwoty płatności wynagrodzenia Wykonawcy jeszcze niewymagalnego,</w:t>
      </w:r>
    </w:p>
    <w:p w14:paraId="0D6BCCC8" w14:textId="77777777" w:rsidR="00C35E8E" w:rsidRPr="0071466F" w:rsidRDefault="00C35E8E" w:rsidP="002649BF">
      <w:pPr>
        <w:pStyle w:val="Tekstpodstawowywcity"/>
        <w:numPr>
          <w:ilvl w:val="1"/>
          <w:numId w:val="10"/>
        </w:numPr>
        <w:suppressAutoHyphens/>
        <w:spacing w:line="271" w:lineRule="auto"/>
        <w:ind w:left="851"/>
        <w:jc w:val="both"/>
        <w:rPr>
          <w:rFonts w:cstheme="minorHAnsi"/>
        </w:rPr>
      </w:pPr>
      <w:r w:rsidRPr="0071466F">
        <w:rPr>
          <w:rFonts w:cstheme="minorHAnsi"/>
        </w:rPr>
        <w:t>Maksymalna wartość wszystkich zmian wynagrodzenia wprowadzonych na podstawie niniejszego ustępu w okresie realizacji umowy nie może przekroczyć 2% całkowitej wartości brutto umowy, o której mowa w § 4 ust. 2.</w:t>
      </w:r>
    </w:p>
    <w:p w14:paraId="7B9BCBBA" w14:textId="77777777" w:rsidR="00C35E8E" w:rsidRPr="0071466F" w:rsidRDefault="00C35E8E" w:rsidP="002649BF">
      <w:pPr>
        <w:pStyle w:val="Tekstpodstawowywcity"/>
        <w:numPr>
          <w:ilvl w:val="0"/>
          <w:numId w:val="10"/>
        </w:numPr>
        <w:suppressAutoHyphens/>
        <w:spacing w:line="271" w:lineRule="auto"/>
        <w:jc w:val="both"/>
        <w:rPr>
          <w:rFonts w:cstheme="minorHAnsi"/>
        </w:rPr>
      </w:pPr>
      <w:r w:rsidRPr="0071466F">
        <w:rPr>
          <w:rFonts w:cstheme="minorHAnsi"/>
        </w:rPr>
        <w:t>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22E38BD1"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0E77A479"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wniosek o waloryzację nie obejmuje wzrostu kosztów świadczenia usługi w zakresie uwzględnionym poprzez zmianę wynagrodzenia Wykonawcy na podstawie ust. 3 i 4,</w:t>
      </w:r>
    </w:p>
    <w:p w14:paraId="1EED7DBE"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7FD95F4" w14:textId="77777777" w:rsidR="00C35E8E" w:rsidRPr="0071466F"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Strona umowy, której przedłożono wniosek, w terminie 30 dni od otrzymania kompletnego wniosku, informacji i wyjaśnień, zajmie pisemne stanowisko w sprawie; za dzień przekazania stanowiska (obejmującego zatwierdzenie wniosku bądź odmowę wniosku), uznaje się dzień jego wysłania na adres właściwy dla doręczeń pism odpowiednio do Zamawiającego lub Wykonawcy, </w:t>
      </w:r>
    </w:p>
    <w:p w14:paraId="3796DB50" w14:textId="77777777" w:rsidR="00C35E8E" w:rsidRDefault="00C35E8E" w:rsidP="002649BF">
      <w:pPr>
        <w:pStyle w:val="Tekstpodstawowywcity"/>
        <w:numPr>
          <w:ilvl w:val="1"/>
          <w:numId w:val="10"/>
        </w:numPr>
        <w:suppressAutoHyphens/>
        <w:spacing w:line="271" w:lineRule="auto"/>
        <w:ind w:left="993" w:hanging="567"/>
        <w:jc w:val="both"/>
        <w:rPr>
          <w:rFonts w:cstheme="minorHAnsi"/>
        </w:rPr>
      </w:pPr>
      <w:r w:rsidRPr="0071466F">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4A74792A" w14:textId="4F4C2792" w:rsidR="007B6617" w:rsidRPr="00C35E8E" w:rsidRDefault="00C35E8E" w:rsidP="002649BF">
      <w:pPr>
        <w:pStyle w:val="Tekstpodstawowywcity"/>
        <w:numPr>
          <w:ilvl w:val="1"/>
          <w:numId w:val="10"/>
        </w:numPr>
        <w:suppressAutoHyphens/>
        <w:spacing w:line="271" w:lineRule="auto"/>
        <w:ind w:left="993" w:hanging="567"/>
        <w:jc w:val="both"/>
        <w:rPr>
          <w:rFonts w:cstheme="minorHAnsi"/>
        </w:rPr>
      </w:pPr>
      <w:r w:rsidRPr="00C35E8E">
        <w:rPr>
          <w:rFonts w:cstheme="minorHAnsi"/>
        </w:rPr>
        <w:lastRenderedPageBreak/>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602D06E9" w:rsidR="00640FEA" w:rsidRPr="00812D2B" w:rsidRDefault="00640FEA" w:rsidP="002649BF">
      <w:pPr>
        <w:pStyle w:val="Akapitzlist"/>
        <w:numPr>
          <w:ilvl w:val="0"/>
          <w:numId w:val="10"/>
        </w:numPr>
        <w:tabs>
          <w:tab w:val="left" w:pos="284"/>
        </w:tabs>
        <w:autoSpaceDE w:val="0"/>
        <w:autoSpaceDN w:val="0"/>
        <w:adjustRightInd w:val="0"/>
        <w:spacing w:after="120" w:line="271" w:lineRule="auto"/>
        <w:ind w:left="284" w:hanging="284"/>
        <w:jc w:val="both"/>
        <w:rPr>
          <w:rFonts w:cstheme="minorHAnsi"/>
          <w:color w:val="0D0D0D" w:themeColor="text1" w:themeTint="F2"/>
        </w:rPr>
      </w:pPr>
      <w:r w:rsidRPr="00812D2B">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2649BF">
      <w:pPr>
        <w:pStyle w:val="Tekstpodstawowywcity"/>
        <w:spacing w:line="271" w:lineRule="auto"/>
        <w:ind w:hanging="283"/>
        <w:jc w:val="center"/>
        <w:rPr>
          <w:rFonts w:cstheme="minorHAnsi"/>
          <w:b/>
          <w:color w:val="0D0D0D" w:themeColor="text1" w:themeTint="F2"/>
        </w:rPr>
      </w:pPr>
      <w:r w:rsidRPr="00812D2B">
        <w:rPr>
          <w:rFonts w:cstheme="minorHAnsi"/>
          <w:b/>
          <w:color w:val="0D0D0D" w:themeColor="text1" w:themeTint="F2"/>
        </w:rPr>
        <w:t xml:space="preserve">§ </w:t>
      </w:r>
      <w:r w:rsidR="00A91BDF" w:rsidRPr="00812D2B">
        <w:rPr>
          <w:rFonts w:cstheme="minorHAnsi"/>
          <w:b/>
          <w:color w:val="0D0D0D" w:themeColor="text1" w:themeTint="F2"/>
        </w:rPr>
        <w:t>1</w:t>
      </w:r>
      <w:r w:rsidR="00BC2E03" w:rsidRPr="00812D2B">
        <w:rPr>
          <w:rFonts w:cstheme="minorHAnsi"/>
          <w:b/>
          <w:color w:val="0D0D0D" w:themeColor="text1" w:themeTint="F2"/>
        </w:rPr>
        <w:t>1</w:t>
      </w:r>
      <w:r w:rsidR="00226E0F" w:rsidRPr="00812D2B">
        <w:rPr>
          <w:rFonts w:cstheme="minorHAnsi"/>
          <w:b/>
          <w:color w:val="0D0D0D" w:themeColor="text1" w:themeTint="F2"/>
        </w:rPr>
        <w:t>.</w:t>
      </w:r>
    </w:p>
    <w:p w14:paraId="623F2AC5" w14:textId="77777777" w:rsidR="00115838" w:rsidRPr="00D4716C" w:rsidRDefault="00115838" w:rsidP="002649BF">
      <w:pPr>
        <w:pStyle w:val="Tekstpodstawowywcity"/>
        <w:spacing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6CDBD24C" w:rsidR="00115838" w:rsidRPr="00C95CE8" w:rsidRDefault="00115838" w:rsidP="002649BF">
      <w:pPr>
        <w:pStyle w:val="Tekstpodstawowywcity"/>
        <w:tabs>
          <w:tab w:val="left" w:pos="0"/>
          <w:tab w:val="left" w:pos="284"/>
        </w:tabs>
        <w:suppressAutoHyphens/>
        <w:spacing w:line="271" w:lineRule="auto"/>
        <w:ind w:left="0"/>
        <w:jc w:val="both"/>
        <w:rPr>
          <w:rFonts w:cstheme="minorHAnsi"/>
          <w:color w:val="0D0D0D" w:themeColor="text1" w:themeTint="F2"/>
        </w:rPr>
      </w:pPr>
      <w:r w:rsidRPr="00D4716C">
        <w:rPr>
          <w:rFonts w:cstheme="minorHAnsi"/>
          <w:color w:val="0D0D0D" w:themeColor="text1" w:themeTint="F2"/>
        </w:rPr>
        <w:t xml:space="preserve">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w:t>
      </w:r>
      <w:r w:rsidRPr="00C95CE8">
        <w:rPr>
          <w:rFonts w:cstheme="minorHAnsi"/>
          <w:color w:val="0D0D0D" w:themeColor="text1" w:themeTint="F2"/>
        </w:rPr>
        <w:t>proporcjonalnie do ilości dni udzielonej ochrony. Przeniesienie praw może nastąpić za zgodą Ubezpieczyciela.</w:t>
      </w:r>
    </w:p>
    <w:p w14:paraId="566A91D7" w14:textId="1C9E0B3A" w:rsidR="009F7814" w:rsidRPr="00C95CE8" w:rsidRDefault="003C2DF6" w:rsidP="002649BF">
      <w:pPr>
        <w:pStyle w:val="Tekstpodstawowywcity"/>
        <w:spacing w:line="271" w:lineRule="auto"/>
        <w:ind w:hanging="283"/>
        <w:jc w:val="center"/>
        <w:rPr>
          <w:rFonts w:cstheme="minorHAnsi"/>
          <w:b/>
          <w:color w:val="0D0D0D" w:themeColor="text1" w:themeTint="F2"/>
        </w:rPr>
      </w:pPr>
      <w:r w:rsidRPr="00C95CE8">
        <w:rPr>
          <w:rFonts w:cstheme="minorHAnsi"/>
          <w:b/>
          <w:color w:val="0D0D0D" w:themeColor="text1" w:themeTint="F2"/>
        </w:rPr>
        <w:t>§ 1</w:t>
      </w:r>
      <w:r w:rsidR="003516F0">
        <w:rPr>
          <w:rFonts w:cstheme="minorHAnsi"/>
          <w:b/>
          <w:color w:val="0D0D0D" w:themeColor="text1" w:themeTint="F2"/>
        </w:rPr>
        <w:t>2</w:t>
      </w:r>
      <w:r w:rsidR="009F7814" w:rsidRPr="00C95CE8">
        <w:rPr>
          <w:rFonts w:cstheme="minorHAnsi"/>
          <w:b/>
          <w:color w:val="0D0D0D" w:themeColor="text1" w:themeTint="F2"/>
        </w:rPr>
        <w:t>.</w:t>
      </w:r>
    </w:p>
    <w:p w14:paraId="36555957" w14:textId="77777777" w:rsidR="002A6BE0" w:rsidRPr="00C95CE8" w:rsidRDefault="002A6BE0" w:rsidP="002649BF">
      <w:pPr>
        <w:pStyle w:val="Tekstpodstawowywcity"/>
        <w:spacing w:line="271" w:lineRule="auto"/>
        <w:ind w:hanging="283"/>
        <w:jc w:val="center"/>
        <w:rPr>
          <w:rFonts w:cstheme="minorHAnsi"/>
          <w:b/>
          <w:color w:val="0D0D0D" w:themeColor="text1" w:themeTint="F2"/>
        </w:rPr>
      </w:pPr>
      <w:r w:rsidRPr="00C95CE8">
        <w:rPr>
          <w:rFonts w:cstheme="minorHAnsi"/>
          <w:b/>
          <w:color w:val="0D0D0D" w:themeColor="text1" w:themeTint="F2"/>
        </w:rPr>
        <w:t>Zakaz cesji</w:t>
      </w:r>
    </w:p>
    <w:p w14:paraId="0351342D" w14:textId="69AA7595" w:rsidR="002A6BE0" w:rsidRPr="00C95CE8" w:rsidRDefault="002A6BE0" w:rsidP="002649BF">
      <w:pPr>
        <w:pStyle w:val="Tekstpodstawowywcity"/>
        <w:numPr>
          <w:ilvl w:val="2"/>
          <w:numId w:val="12"/>
        </w:numPr>
        <w:tabs>
          <w:tab w:val="left" w:pos="284"/>
        </w:tabs>
        <w:suppressAutoHyphens/>
        <w:spacing w:line="271" w:lineRule="auto"/>
        <w:ind w:left="284" w:hanging="284"/>
        <w:jc w:val="both"/>
        <w:rPr>
          <w:rFonts w:cstheme="minorHAnsi"/>
          <w:color w:val="0D0D0D" w:themeColor="text1" w:themeTint="F2"/>
        </w:rPr>
      </w:pPr>
      <w:r w:rsidRPr="00C95CE8">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C95CE8">
        <w:rPr>
          <w:rFonts w:cstheme="minorHAnsi"/>
          <w:color w:val="0D0D0D" w:themeColor="text1" w:themeTint="F2"/>
        </w:rPr>
        <w:t>ych z niniejszej umowy, w tym w </w:t>
      </w:r>
      <w:r w:rsidRPr="00C95CE8">
        <w:rPr>
          <w:rFonts w:cstheme="minorHAnsi"/>
          <w:color w:val="0D0D0D" w:themeColor="text1" w:themeTint="F2"/>
        </w:rPr>
        <w:t>szczególności Wykonawca:</w:t>
      </w:r>
    </w:p>
    <w:p w14:paraId="5D4B6675" w14:textId="7D0926E9" w:rsidR="002A6BE0" w:rsidRPr="00C95CE8"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 xml:space="preserve">nie może dokonać cesji wierzytelności wynikających lub związanych z realizacją umowy, </w:t>
      </w:r>
    </w:p>
    <w:p w14:paraId="30A6749E" w14:textId="057E5A96" w:rsidR="002A6BE0" w:rsidRPr="00C95CE8"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 xml:space="preserve">nie może dokonać zmian podmiotowych w trybie określonym w art. 518 kodeksu cywilnego, </w:t>
      </w:r>
    </w:p>
    <w:p w14:paraId="7CD4A145" w14:textId="5B65D4E1" w:rsidR="002A6BE0" w:rsidRPr="00C95CE8"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2649BF">
      <w:pPr>
        <w:pStyle w:val="Tekstpodstawowywcity"/>
        <w:numPr>
          <w:ilvl w:val="0"/>
          <w:numId w:val="23"/>
        </w:numPr>
        <w:tabs>
          <w:tab w:val="left" w:pos="284"/>
        </w:tabs>
        <w:suppressAutoHyphens/>
        <w:spacing w:line="271" w:lineRule="auto"/>
        <w:ind w:left="709" w:hanging="425"/>
        <w:jc w:val="both"/>
        <w:rPr>
          <w:rFonts w:cstheme="minorHAnsi"/>
          <w:color w:val="0D0D0D" w:themeColor="text1" w:themeTint="F2"/>
        </w:rPr>
      </w:pPr>
      <w:r w:rsidRPr="00C95CE8">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w:t>
      </w:r>
      <w:r w:rsidRPr="00D4716C">
        <w:rPr>
          <w:rFonts w:cstheme="minorHAnsi"/>
          <w:color w:val="0D0D0D" w:themeColor="text1" w:themeTint="F2"/>
        </w:rPr>
        <w:t xml:space="preserve"> dla radcy prawnego lub adwokata.</w:t>
      </w:r>
    </w:p>
    <w:p w14:paraId="74907F81" w14:textId="04290564" w:rsidR="002A6BE0" w:rsidRPr="00D4716C" w:rsidRDefault="002A6BE0" w:rsidP="002649BF">
      <w:pPr>
        <w:pStyle w:val="Tekstpodstawowywcity"/>
        <w:numPr>
          <w:ilvl w:val="2"/>
          <w:numId w:val="12"/>
        </w:numPr>
        <w:tabs>
          <w:tab w:val="left"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7CB22F79" w:rsidR="009F7814" w:rsidRPr="00D4716C" w:rsidRDefault="003C2DF6" w:rsidP="002649BF">
      <w:pPr>
        <w:pStyle w:val="Tekstpodstawowywcity"/>
        <w:spacing w:line="271" w:lineRule="auto"/>
        <w:ind w:left="357" w:hanging="357"/>
        <w:jc w:val="center"/>
        <w:rPr>
          <w:rFonts w:cstheme="minorHAnsi"/>
          <w:b/>
          <w:color w:val="0D0D0D" w:themeColor="text1" w:themeTint="F2"/>
        </w:rPr>
      </w:pPr>
      <w:r w:rsidRPr="00AB774F">
        <w:rPr>
          <w:rFonts w:cstheme="minorHAnsi"/>
          <w:b/>
          <w:color w:val="0D0D0D" w:themeColor="text1" w:themeTint="F2"/>
        </w:rPr>
        <w:t>§ 1</w:t>
      </w:r>
      <w:r w:rsidR="003516F0">
        <w:rPr>
          <w:rFonts w:cstheme="minorHAnsi"/>
          <w:b/>
          <w:color w:val="0D0D0D" w:themeColor="text1" w:themeTint="F2"/>
        </w:rPr>
        <w:t>3</w:t>
      </w:r>
      <w:r w:rsidR="009F7814" w:rsidRPr="00AB774F">
        <w:rPr>
          <w:rFonts w:cstheme="minorHAnsi"/>
          <w:b/>
          <w:color w:val="0D0D0D" w:themeColor="text1" w:themeTint="F2"/>
        </w:rPr>
        <w:t>.</w:t>
      </w:r>
    </w:p>
    <w:p w14:paraId="5DBFD8FF" w14:textId="77777777" w:rsidR="009F7814" w:rsidRPr="00D4716C" w:rsidRDefault="009F7814" w:rsidP="002649BF">
      <w:pPr>
        <w:pStyle w:val="Tekstpodstawowywcity"/>
        <w:spacing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2649BF">
      <w:pPr>
        <w:pStyle w:val="Tekstpodstawowywcity"/>
        <w:numPr>
          <w:ilvl w:val="0"/>
          <w:numId w:val="29"/>
        </w:numPr>
        <w:tabs>
          <w:tab w:val="num" w:pos="284"/>
        </w:tabs>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09A9D0DC" w:rsidR="001A3E30" w:rsidRDefault="001A3E3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ustawy z dnia 11.09.2015 r. o działalności ubezpieczeniowej i reasekuracyjnej , </w:t>
      </w:r>
    </w:p>
    <w:p w14:paraId="1B08BF99" w14:textId="62292570" w:rsidR="00771A51" w:rsidRPr="00B0142E" w:rsidRDefault="00771A51" w:rsidP="002649BF">
      <w:pPr>
        <w:pStyle w:val="Tekstpodstawowywcity"/>
        <w:numPr>
          <w:ilvl w:val="0"/>
          <w:numId w:val="20"/>
        </w:numPr>
        <w:suppressAutoHyphens/>
        <w:spacing w:line="271" w:lineRule="auto"/>
        <w:jc w:val="both"/>
        <w:rPr>
          <w:rFonts w:cstheme="minorHAnsi"/>
        </w:rPr>
      </w:pPr>
      <w:r w:rsidRPr="003A6AE8">
        <w:rPr>
          <w:rFonts w:cstheme="minorHAnsi"/>
        </w:rPr>
        <w:t>ustawy z dnia 22 maja 2003 r. o ubezpieczeniach obowiązkowych, Ubezpieczeniowym Funduszu Gwarancyjnym i Polskim Biurze Ubezpieczycieli Komunikacyjnych ,</w:t>
      </w:r>
    </w:p>
    <w:p w14:paraId="04CB7A70" w14:textId="7306A69A" w:rsidR="001A3E30" w:rsidRPr="00D4716C" w:rsidRDefault="001A3E3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t xml:space="preserve">ustawy z dnia 23 kwietnia 1964r. Kodeks cywilny,  </w:t>
      </w:r>
    </w:p>
    <w:p w14:paraId="529E2104" w14:textId="4D72A62E" w:rsidR="001A3E30" w:rsidRPr="00D4716C" w:rsidRDefault="001A3E30" w:rsidP="002649BF">
      <w:pPr>
        <w:pStyle w:val="Tekstpodstawowywcity"/>
        <w:numPr>
          <w:ilvl w:val="0"/>
          <w:numId w:val="20"/>
        </w:numPr>
        <w:suppressAutoHyphens/>
        <w:spacing w:line="271" w:lineRule="auto"/>
        <w:jc w:val="both"/>
        <w:rPr>
          <w:rFonts w:cstheme="minorHAnsi"/>
          <w:color w:val="0D0D0D" w:themeColor="text1" w:themeTint="F2"/>
        </w:rPr>
      </w:pPr>
      <w:r w:rsidRPr="00D4716C">
        <w:rPr>
          <w:rFonts w:cstheme="minorHAnsi"/>
          <w:color w:val="0D0D0D" w:themeColor="text1" w:themeTint="F2"/>
        </w:rPr>
        <w:lastRenderedPageBreak/>
        <w:t xml:space="preserve">ustawy Prawo zamówień publicznych </w:t>
      </w:r>
      <w:r w:rsidR="00305BAC" w:rsidRPr="00D4716C">
        <w:rPr>
          <w:rFonts w:cstheme="minorHAnsi"/>
          <w:color w:val="0D0D0D" w:themeColor="text1" w:themeTint="F2"/>
        </w:rPr>
        <w:t>),</w:t>
      </w:r>
    </w:p>
    <w:p w14:paraId="14793515" w14:textId="4C98EF8B" w:rsidR="009F7814" w:rsidRPr="00D4716C" w:rsidRDefault="009F7814" w:rsidP="002649BF">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D4716C">
        <w:rPr>
          <w:rFonts w:cstheme="minorHAnsi"/>
          <w:i/>
          <w:iCs/>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elektroniczną. Na żądanie druga strona potwierdza fakt ich otrzymania. </w:t>
      </w:r>
      <w:r w:rsidR="00701C7B" w:rsidRPr="00D4716C">
        <w:rPr>
          <w:rFonts w:cstheme="minorHAnsi"/>
          <w:color w:val="0D0D0D" w:themeColor="text1" w:themeTint="F2"/>
        </w:rPr>
        <w:t>Zmiany postanowień umowy wymagają formy pisemnej pod rygorem nieważności.</w:t>
      </w:r>
    </w:p>
    <w:p w14:paraId="08F61E61" w14:textId="047740AE" w:rsidR="009F7814" w:rsidRDefault="009F7814" w:rsidP="002649BF">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D4716C">
        <w:rPr>
          <w:rFonts w:cstheme="minorHAnsi"/>
          <w:smallCaps/>
          <w:color w:val="0D0D0D" w:themeColor="text1" w:themeTint="F2"/>
        </w:rPr>
        <w:t xml:space="preserve">, </w:t>
      </w:r>
      <w:r w:rsidRPr="00D4716C">
        <w:rPr>
          <w:rFonts w:cstheme="minorHAnsi"/>
          <w:color w:val="0D0D0D" w:themeColor="text1" w:themeTint="F2"/>
        </w:rPr>
        <w:t>a w sprawach dotyczących umowy ubezpieczenia przez właściwy Sąd</w:t>
      </w:r>
      <w:r w:rsidR="00C35E8E">
        <w:rPr>
          <w:rFonts w:cstheme="minorHAnsi"/>
          <w:color w:val="0D0D0D" w:themeColor="text1" w:themeTint="F2"/>
        </w:rPr>
        <w:t xml:space="preserve"> </w:t>
      </w:r>
      <w:r w:rsidR="00C35E8E" w:rsidRPr="00C35E8E">
        <w:rPr>
          <w:rFonts w:cstheme="minorHAnsi"/>
          <w:color w:val="0D0D0D" w:themeColor="text1" w:themeTint="F2"/>
        </w:rPr>
        <w:t>dla siedziby Zamawiającego</w:t>
      </w:r>
      <w:r w:rsidRPr="00D4716C">
        <w:rPr>
          <w:rFonts w:cstheme="minorHAnsi"/>
          <w:color w:val="0D0D0D" w:themeColor="text1" w:themeTint="F2"/>
        </w:rPr>
        <w:t>.</w:t>
      </w:r>
    </w:p>
    <w:p w14:paraId="64F8281B" w14:textId="0F76D1D7" w:rsidR="009F7814" w:rsidRDefault="009F7814" w:rsidP="003516F0">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D4716C">
        <w:rPr>
          <w:rFonts w:cstheme="minorHAnsi"/>
          <w:color w:val="0D0D0D" w:themeColor="text1" w:themeTint="F2"/>
        </w:rPr>
        <w:t xml:space="preserve">Umowę sporządzono w </w:t>
      </w:r>
      <w:r w:rsidR="00E70184" w:rsidRPr="00D4716C">
        <w:rPr>
          <w:rFonts w:cstheme="minorHAnsi"/>
          <w:color w:val="0D0D0D" w:themeColor="text1" w:themeTint="F2"/>
        </w:rPr>
        <w:t>2</w:t>
      </w:r>
      <w:r w:rsidRPr="00D4716C">
        <w:rPr>
          <w:rFonts w:cstheme="minorHAnsi"/>
          <w:color w:val="0D0D0D" w:themeColor="text1" w:themeTint="F2"/>
        </w:rPr>
        <w:t xml:space="preserve"> jednobrzmiących egzemplarzach, 1 egzemplarz dla Zamawiającego i</w:t>
      </w:r>
      <w:r w:rsidR="00E70184" w:rsidRPr="00D4716C">
        <w:rPr>
          <w:rFonts w:cstheme="minorHAnsi"/>
          <w:color w:val="0D0D0D" w:themeColor="text1" w:themeTint="F2"/>
        </w:rPr>
        <w:t xml:space="preserve"> 1</w:t>
      </w:r>
      <w:r w:rsidRPr="00D4716C">
        <w:rPr>
          <w:rFonts w:cstheme="minorHAnsi"/>
          <w:color w:val="0D0D0D" w:themeColor="text1" w:themeTint="F2"/>
        </w:rPr>
        <w:t xml:space="preserve"> egzemplarz dla Wykonawcy.</w:t>
      </w:r>
    </w:p>
    <w:p w14:paraId="7DF7B807" w14:textId="4C858E4C" w:rsidR="00C35E8E" w:rsidRPr="003516F0" w:rsidRDefault="00C35E8E" w:rsidP="003516F0">
      <w:pPr>
        <w:pStyle w:val="Tekstpodstawowywcity"/>
        <w:numPr>
          <w:ilvl w:val="0"/>
          <w:numId w:val="29"/>
        </w:numPr>
        <w:tabs>
          <w:tab w:val="num" w:pos="284"/>
        </w:tabs>
        <w:suppressAutoHyphens/>
        <w:spacing w:line="271" w:lineRule="auto"/>
        <w:ind w:left="284" w:hanging="284"/>
        <w:jc w:val="both"/>
        <w:rPr>
          <w:rFonts w:cstheme="minorHAnsi"/>
          <w:color w:val="0D0D0D" w:themeColor="text1" w:themeTint="F2"/>
        </w:rPr>
      </w:pPr>
      <w:r w:rsidRPr="003516F0">
        <w:rPr>
          <w:rFonts w:cstheme="minorHAnsi"/>
          <w:color w:val="0D0D0D" w:themeColor="text1" w:themeTint="F2"/>
        </w:rPr>
        <w:t xml:space="preserve">Umowa może zostać zawarta w formie elektronicznej zgodnie z art. </w:t>
      </w:r>
      <w:r w:rsidR="003516F0" w:rsidRPr="00146096">
        <w:rPr>
          <w:rFonts w:cstheme="minorHAnsi"/>
          <w:color w:val="0D0D0D" w:themeColor="text1" w:themeTint="F2"/>
        </w:rPr>
        <w:t>78</w:t>
      </w:r>
      <w:r w:rsidR="003516F0" w:rsidRPr="00146096">
        <w:rPr>
          <w:rFonts w:cstheme="minorHAnsi"/>
          <w:color w:val="0D0D0D" w:themeColor="text1" w:themeTint="F2"/>
          <w:vertAlign w:val="superscript"/>
        </w:rPr>
        <w:t>1</w:t>
      </w:r>
      <w:r w:rsidRPr="003516F0">
        <w:rPr>
          <w:rFonts w:cstheme="minorHAnsi"/>
          <w:color w:val="0D0D0D" w:themeColor="text1" w:themeTint="F2"/>
        </w:rPr>
        <w:t xml:space="preserve"> ustawy Kodeks cywilny.</w:t>
      </w:r>
    </w:p>
    <w:p w14:paraId="1FB50118" w14:textId="77777777" w:rsidR="00C35E8E" w:rsidRPr="00D4716C" w:rsidRDefault="00C35E8E" w:rsidP="002649BF">
      <w:pPr>
        <w:pStyle w:val="Tekstpodstawowywcity"/>
        <w:tabs>
          <w:tab w:val="num" w:pos="284"/>
        </w:tabs>
        <w:suppressAutoHyphens/>
        <w:spacing w:line="271" w:lineRule="auto"/>
        <w:ind w:left="284"/>
        <w:jc w:val="both"/>
        <w:rPr>
          <w:rFonts w:cstheme="minorHAnsi"/>
          <w:color w:val="0D0D0D" w:themeColor="text1" w:themeTint="F2"/>
        </w:rPr>
      </w:pPr>
    </w:p>
    <w:p w14:paraId="4B9FB1AF" w14:textId="77777777" w:rsidR="009F7814" w:rsidRPr="00D4716C" w:rsidRDefault="009F7814" w:rsidP="002649BF">
      <w:pPr>
        <w:tabs>
          <w:tab w:val="left" w:pos="-1276"/>
          <w:tab w:val="center" w:pos="2268"/>
          <w:tab w:val="center" w:pos="7230"/>
        </w:tabs>
        <w:spacing w:after="120" w:line="271" w:lineRule="auto"/>
        <w:ind w:left="284"/>
        <w:jc w:val="both"/>
        <w:rPr>
          <w:rFonts w:cstheme="minorHAnsi"/>
          <w:color w:val="0D0D0D" w:themeColor="text1" w:themeTint="F2"/>
        </w:rPr>
      </w:pPr>
      <w:r w:rsidRPr="00D4716C">
        <w:rPr>
          <w:rFonts w:cstheme="minorHAnsi"/>
          <w:color w:val="0D0D0D" w:themeColor="text1" w:themeTint="F2"/>
        </w:rPr>
        <w:tab/>
      </w:r>
      <w:r w:rsidRPr="00D4716C">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A3D6E" w14:textId="77777777" w:rsidR="00900665" w:rsidRDefault="00900665" w:rsidP="00FF02A3">
      <w:pPr>
        <w:spacing w:after="0" w:line="240" w:lineRule="auto"/>
      </w:pPr>
      <w:r>
        <w:separator/>
      </w:r>
    </w:p>
  </w:endnote>
  <w:endnote w:type="continuationSeparator" w:id="0">
    <w:p w14:paraId="1FF247ED" w14:textId="77777777" w:rsidR="00900665" w:rsidRDefault="00900665"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1169415"/>
      <w:docPartObj>
        <w:docPartGallery w:val="Page Numbers (Bottom of Page)"/>
        <w:docPartUnique/>
      </w:docPartObj>
    </w:sdtPr>
    <w:sdtEndPr/>
    <w:sdtContent>
      <w:p w14:paraId="7FCFCA08" w14:textId="007B22B9" w:rsidR="00413915" w:rsidRDefault="00413915">
        <w:pPr>
          <w:pStyle w:val="Stopka"/>
          <w:jc w:val="right"/>
        </w:pPr>
        <w:r>
          <w:fldChar w:fldCharType="begin"/>
        </w:r>
        <w:r>
          <w:instrText>PAGE   \* MERGEFORMAT</w:instrText>
        </w:r>
        <w:r>
          <w:fldChar w:fldCharType="separate"/>
        </w:r>
        <w:r w:rsidR="00DF2CD2">
          <w:rPr>
            <w:noProof/>
          </w:rPr>
          <w:t>5</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81373" w14:textId="77777777" w:rsidR="00900665" w:rsidRDefault="00900665" w:rsidP="00FF02A3">
      <w:pPr>
        <w:spacing w:after="0" w:line="240" w:lineRule="auto"/>
      </w:pPr>
      <w:r>
        <w:separator/>
      </w:r>
    </w:p>
  </w:footnote>
  <w:footnote w:type="continuationSeparator" w:id="0">
    <w:p w14:paraId="57B6DC58" w14:textId="77777777" w:rsidR="00900665" w:rsidRDefault="00900665"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600FE" w14:textId="1A3EE7A4" w:rsidR="00A2205C" w:rsidRPr="00322091" w:rsidRDefault="00A343A9" w:rsidP="007A2EB6">
    <w:pPr>
      <w:pStyle w:val="Nagwek"/>
      <w:rPr>
        <w:rFonts w:ascii="Calibri" w:hAnsi="Calibri" w:cs="Calibri"/>
        <w:b/>
        <w:bCs/>
        <w:color w:val="0070C0"/>
        <w:sz w:val="16"/>
        <w:szCs w:val="16"/>
      </w:rPr>
    </w:pPr>
    <w:r w:rsidRPr="00D51704">
      <w:rPr>
        <w:rFonts w:ascii="Calibri" w:hAnsi="Calibri"/>
        <w:sz w:val="16"/>
        <w:szCs w:val="16"/>
        <w:lang w:val="en-US" w:eastAsia="pl-PL"/>
      </w:rPr>
      <w:t xml:space="preserve">SP ZOZ MSWIA w Łodzi </w:t>
    </w:r>
    <w:r w:rsidR="00E42474" w:rsidRPr="00403234">
      <w:rPr>
        <w:rFonts w:ascii="Calibri" w:hAnsi="Calibri"/>
        <w:noProof/>
        <w:color w:val="404040"/>
        <w:sz w:val="16"/>
        <w:szCs w:val="16"/>
        <w:lang w:eastAsia="pl-PL"/>
      </w:rPr>
      <mc:AlternateContent>
        <mc:Choice Requires="wps">
          <w:drawing>
            <wp:anchor distT="0" distB="0" distL="114300" distR="114300" simplePos="0" relativeHeight="251664384"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7A2EB6">
      <w:rPr>
        <w:rFonts w:ascii="Calibri" w:hAnsi="Calibri"/>
        <w:sz w:val="16"/>
        <w:szCs w:val="16"/>
        <w:lang w:val="en-US" w:eastAsia="pl-PL"/>
      </w:rPr>
      <w:tab/>
    </w:r>
    <w:r w:rsidR="007A2EB6">
      <w:rPr>
        <w:rFonts w:ascii="Calibri" w:hAnsi="Calibri"/>
        <w:sz w:val="16"/>
        <w:szCs w:val="16"/>
        <w:lang w:val="en-US" w:eastAsia="pl-PL"/>
      </w:rPr>
      <w:tab/>
    </w:r>
    <w:r w:rsidR="00322091" w:rsidRPr="00322091">
      <w:rPr>
        <w:rFonts w:ascii="Calibri" w:hAnsi="Calibri"/>
        <w:b/>
        <w:bCs/>
        <w:color w:val="0070C0"/>
        <w:sz w:val="16"/>
        <w:szCs w:val="16"/>
        <w:lang w:val="en-US" w:eastAsia="pl-PL"/>
      </w:rPr>
      <w:t xml:space="preserve">Zmodyfikowany </w:t>
    </w:r>
    <w:r w:rsidR="00C22813" w:rsidRPr="00322091">
      <w:rPr>
        <w:rFonts w:ascii="Calibri" w:hAnsi="Calibri" w:cs="Calibri"/>
        <w:b/>
        <w:bCs/>
        <w:color w:val="0070C0"/>
        <w:sz w:val="16"/>
        <w:szCs w:val="16"/>
      </w:rPr>
      <w:t xml:space="preserve">Załącznik nr </w:t>
    </w:r>
    <w:r w:rsidR="00EB5F32" w:rsidRPr="00322091">
      <w:rPr>
        <w:rFonts w:ascii="Calibri" w:hAnsi="Calibri" w:cs="Calibri"/>
        <w:b/>
        <w:bCs/>
        <w:color w:val="0070C0"/>
        <w:sz w:val="16"/>
        <w:szCs w:val="16"/>
      </w:rPr>
      <w:t>3</w:t>
    </w:r>
    <w:r w:rsidR="00771A51" w:rsidRPr="00322091">
      <w:rPr>
        <w:rFonts w:ascii="Calibri" w:hAnsi="Calibri" w:cs="Calibri"/>
        <w:b/>
        <w:bCs/>
        <w:color w:val="0070C0"/>
        <w:sz w:val="16"/>
        <w:szCs w:val="16"/>
      </w:rPr>
      <w:t>c</w:t>
    </w:r>
    <w:r w:rsidR="00EB5F32" w:rsidRPr="00322091">
      <w:rPr>
        <w:rFonts w:ascii="Calibri" w:hAnsi="Calibri" w:cs="Calibri"/>
        <w:b/>
        <w:bCs/>
        <w:color w:val="0070C0"/>
        <w:sz w:val="16"/>
        <w:szCs w:val="16"/>
      </w:rPr>
      <w:t xml:space="preserve"> </w:t>
    </w:r>
    <w:r w:rsidR="00C22813" w:rsidRPr="00322091">
      <w:rPr>
        <w:rFonts w:ascii="Calibri" w:hAnsi="Calibri" w:cs="Calibri"/>
        <w:b/>
        <w:bCs/>
        <w:color w:val="0070C0"/>
        <w:sz w:val="16"/>
        <w:szCs w:val="16"/>
      </w:rPr>
      <w:t>do S</w:t>
    </w:r>
    <w:r w:rsidR="00E42474" w:rsidRPr="00322091">
      <w:rPr>
        <w:rFonts w:ascii="Calibri" w:hAnsi="Calibri" w:cs="Calibri"/>
        <w:b/>
        <w:bCs/>
        <w:color w:val="0070C0"/>
        <w:sz w:val="16"/>
        <w:szCs w:val="16"/>
      </w:rPr>
      <w:t xml:space="preserve">WZ </w:t>
    </w:r>
    <w:r w:rsidR="00A2205C" w:rsidRPr="00322091">
      <w:rPr>
        <w:rFonts w:ascii="Calibri" w:hAnsi="Calibri" w:cs="Calibri"/>
        <w:b/>
        <w:bCs/>
        <w:color w:val="0070C0"/>
        <w:sz w:val="16"/>
        <w:szCs w:val="16"/>
      </w:rPr>
      <w:t xml:space="preserve">– Wzór umowy do Części </w:t>
    </w:r>
    <w:r w:rsidR="00E60A1B" w:rsidRPr="00322091">
      <w:rPr>
        <w:rFonts w:ascii="Calibri" w:hAnsi="Calibri" w:cs="Calibri"/>
        <w:b/>
        <w:bCs/>
        <w:color w:val="0070C0"/>
        <w:sz w:val="16"/>
        <w:szCs w:val="16"/>
      </w:rPr>
      <w:t>3</w:t>
    </w:r>
  </w:p>
  <w:p w14:paraId="2CB55BEB" w14:textId="59B4931B" w:rsidR="00E42474" w:rsidRPr="002E7C33" w:rsidRDefault="00E42474" w:rsidP="00E42474">
    <w:pPr>
      <w:pStyle w:val="Nagwek"/>
      <w:rPr>
        <w:rFonts w:ascii="Calibri" w:hAnsi="Calibri" w:cs="Calibri"/>
        <w:sz w:val="16"/>
        <w:szCs w:val="16"/>
      </w:rPr>
    </w:pPr>
    <w:r w:rsidRPr="00B37192">
      <w:rPr>
        <w:rFonts w:ascii="Calibri" w:hAnsi="Calibri" w:cs="Calibri"/>
        <w:sz w:val="16"/>
        <w:szCs w:val="16"/>
      </w:rPr>
      <w:t>Znak sprawy</w:t>
    </w:r>
    <w:r w:rsidR="00AB774F" w:rsidRPr="00B37192">
      <w:rPr>
        <w:rFonts w:ascii="Calibri" w:hAnsi="Calibri" w:cs="Calibri"/>
        <w:sz w:val="16"/>
        <w:szCs w:val="16"/>
      </w:rPr>
      <w:t>:</w:t>
    </w:r>
    <w:r w:rsidR="00B37192">
      <w:rPr>
        <w:rFonts w:ascii="Calibri" w:hAnsi="Calibri" w:cs="Calibri"/>
        <w:sz w:val="16"/>
        <w:szCs w:val="16"/>
      </w:rPr>
      <w:t xml:space="preserve"> 24/U/25</w:t>
    </w:r>
    <w:r>
      <w:rPr>
        <w:rFonts w:ascii="Calibri" w:hAnsi="Calibri" w:cs="Calibri"/>
        <w:sz w:val="16"/>
        <w:szCs w:val="16"/>
      </w:rPr>
      <w:tab/>
    </w:r>
    <w:bookmarkStart w:id="3" w:name="_Hlk68691911"/>
  </w:p>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16A1EAF"/>
    <w:multiLevelType w:val="multilevel"/>
    <w:tmpl w:val="9572BB4A"/>
    <w:lvl w:ilvl="0">
      <w:start w:val="3"/>
      <w:numFmt w:val="decimal"/>
      <w:lvlText w:val="%1."/>
      <w:lvlJc w:val="left"/>
      <w:pPr>
        <w:tabs>
          <w:tab w:val="num" w:pos="0"/>
        </w:tabs>
        <w:ind w:left="600" w:hanging="600"/>
      </w:pPr>
      <w:rPr>
        <w:rFonts w:hint="default"/>
        <w:color w:val="404040"/>
      </w:rPr>
    </w:lvl>
    <w:lvl w:ilvl="1">
      <w:start w:val="1"/>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1688761">
    <w:abstractNumId w:val="19"/>
  </w:num>
  <w:num w:numId="2" w16cid:durableId="723136515">
    <w:abstractNumId w:val="23"/>
  </w:num>
  <w:num w:numId="3" w16cid:durableId="672492663">
    <w:abstractNumId w:val="20"/>
  </w:num>
  <w:num w:numId="4" w16cid:durableId="1425801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3866235">
    <w:abstractNumId w:val="1"/>
  </w:num>
  <w:num w:numId="6" w16cid:durableId="1323240128">
    <w:abstractNumId w:val="2"/>
  </w:num>
  <w:num w:numId="7" w16cid:durableId="1177111544">
    <w:abstractNumId w:val="3"/>
  </w:num>
  <w:num w:numId="8" w16cid:durableId="1678925730">
    <w:abstractNumId w:val="10"/>
  </w:num>
  <w:num w:numId="9" w16cid:durableId="2077238938">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5844776">
    <w:abstractNumId w:val="25"/>
  </w:num>
  <w:num w:numId="11" w16cid:durableId="1001276967">
    <w:abstractNumId w:val="4"/>
  </w:num>
  <w:num w:numId="12" w16cid:durableId="2006009916">
    <w:abstractNumId w:val="5"/>
  </w:num>
  <w:num w:numId="13" w16cid:durableId="2045053028">
    <w:abstractNumId w:val="7"/>
  </w:num>
  <w:num w:numId="14" w16cid:durableId="8046589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4799247">
    <w:abstractNumId w:val="22"/>
  </w:num>
  <w:num w:numId="16" w16cid:durableId="436144798">
    <w:abstractNumId w:val="15"/>
  </w:num>
  <w:num w:numId="17" w16cid:durableId="1469124444">
    <w:abstractNumId w:val="14"/>
  </w:num>
  <w:num w:numId="18" w16cid:durableId="1275673395">
    <w:abstractNumId w:val="6"/>
  </w:num>
  <w:num w:numId="19" w16cid:durableId="273099443">
    <w:abstractNumId w:val="16"/>
  </w:num>
  <w:num w:numId="20" w16cid:durableId="1629697797">
    <w:abstractNumId w:val="17"/>
  </w:num>
  <w:num w:numId="21" w16cid:durableId="10160745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5021158">
    <w:abstractNumId w:val="9"/>
  </w:num>
  <w:num w:numId="23" w16cid:durableId="1891266319">
    <w:abstractNumId w:val="11"/>
  </w:num>
  <w:num w:numId="24" w16cid:durableId="1486967627">
    <w:abstractNumId w:val="24"/>
  </w:num>
  <w:num w:numId="25" w16cid:durableId="265892040">
    <w:abstractNumId w:val="26"/>
  </w:num>
  <w:num w:numId="26" w16cid:durableId="1054039357">
    <w:abstractNumId w:val="21"/>
  </w:num>
  <w:num w:numId="27" w16cid:durableId="696202321">
    <w:abstractNumId w:val="28"/>
  </w:num>
  <w:num w:numId="28" w16cid:durableId="1316715577">
    <w:abstractNumId w:val="13"/>
  </w:num>
  <w:num w:numId="29" w16cid:durableId="1539272377">
    <w:abstractNumId w:val="18"/>
  </w:num>
  <w:num w:numId="30" w16cid:durableId="687831423">
    <w:abstractNumId w:val="27"/>
  </w:num>
  <w:num w:numId="31" w16cid:durableId="10706166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130F4"/>
    <w:rsid w:val="00023EAA"/>
    <w:rsid w:val="00027D38"/>
    <w:rsid w:val="00033573"/>
    <w:rsid w:val="00035C0E"/>
    <w:rsid w:val="00064A51"/>
    <w:rsid w:val="00081C5A"/>
    <w:rsid w:val="0008730E"/>
    <w:rsid w:val="0009187D"/>
    <w:rsid w:val="000A4C60"/>
    <w:rsid w:val="000A6687"/>
    <w:rsid w:val="000E73C1"/>
    <w:rsid w:val="000F0F07"/>
    <w:rsid w:val="000F38F2"/>
    <w:rsid w:val="0011341B"/>
    <w:rsid w:val="00114E0C"/>
    <w:rsid w:val="00115838"/>
    <w:rsid w:val="00123932"/>
    <w:rsid w:val="00136F22"/>
    <w:rsid w:val="001506E1"/>
    <w:rsid w:val="00152B5B"/>
    <w:rsid w:val="00181C69"/>
    <w:rsid w:val="001837F1"/>
    <w:rsid w:val="00195566"/>
    <w:rsid w:val="001A3E30"/>
    <w:rsid w:val="001C72D9"/>
    <w:rsid w:val="001D0A08"/>
    <w:rsid w:val="00203751"/>
    <w:rsid w:val="002225AA"/>
    <w:rsid w:val="00226E0F"/>
    <w:rsid w:val="00230A33"/>
    <w:rsid w:val="002407FF"/>
    <w:rsid w:val="00246634"/>
    <w:rsid w:val="00247A72"/>
    <w:rsid w:val="002555D1"/>
    <w:rsid w:val="0025576C"/>
    <w:rsid w:val="002649BF"/>
    <w:rsid w:val="00285E7C"/>
    <w:rsid w:val="00291EE5"/>
    <w:rsid w:val="002A337F"/>
    <w:rsid w:val="002A6BE0"/>
    <w:rsid w:val="002D156D"/>
    <w:rsid w:val="002D18DD"/>
    <w:rsid w:val="002D3C41"/>
    <w:rsid w:val="002E1833"/>
    <w:rsid w:val="002E1C32"/>
    <w:rsid w:val="002E6E82"/>
    <w:rsid w:val="00305BAC"/>
    <w:rsid w:val="00320BE9"/>
    <w:rsid w:val="00322091"/>
    <w:rsid w:val="003516F0"/>
    <w:rsid w:val="0038254F"/>
    <w:rsid w:val="00391EAE"/>
    <w:rsid w:val="00397D37"/>
    <w:rsid w:val="003A4264"/>
    <w:rsid w:val="003B214E"/>
    <w:rsid w:val="003C2DF6"/>
    <w:rsid w:val="003D4D5A"/>
    <w:rsid w:val="003E6E28"/>
    <w:rsid w:val="00402D9D"/>
    <w:rsid w:val="004076DF"/>
    <w:rsid w:val="00413915"/>
    <w:rsid w:val="00427EEE"/>
    <w:rsid w:val="00445694"/>
    <w:rsid w:val="00455C42"/>
    <w:rsid w:val="00460F5C"/>
    <w:rsid w:val="0048376D"/>
    <w:rsid w:val="004A560D"/>
    <w:rsid w:val="004B5A42"/>
    <w:rsid w:val="004C1642"/>
    <w:rsid w:val="004C48F6"/>
    <w:rsid w:val="0050713E"/>
    <w:rsid w:val="005139B5"/>
    <w:rsid w:val="00516EF4"/>
    <w:rsid w:val="005450CB"/>
    <w:rsid w:val="00583E18"/>
    <w:rsid w:val="005A4BEF"/>
    <w:rsid w:val="005A58A9"/>
    <w:rsid w:val="005B14D1"/>
    <w:rsid w:val="005C6EB0"/>
    <w:rsid w:val="005D6A45"/>
    <w:rsid w:val="0061346C"/>
    <w:rsid w:val="006319EE"/>
    <w:rsid w:val="00640FEA"/>
    <w:rsid w:val="00642712"/>
    <w:rsid w:val="0064322C"/>
    <w:rsid w:val="006505E3"/>
    <w:rsid w:val="00674D76"/>
    <w:rsid w:val="00694F43"/>
    <w:rsid w:val="006A02DC"/>
    <w:rsid w:val="006B0048"/>
    <w:rsid w:val="006C68D8"/>
    <w:rsid w:val="006D77AF"/>
    <w:rsid w:val="006E6185"/>
    <w:rsid w:val="006F136F"/>
    <w:rsid w:val="006F6431"/>
    <w:rsid w:val="00701C7B"/>
    <w:rsid w:val="007103F7"/>
    <w:rsid w:val="007106CA"/>
    <w:rsid w:val="00711FC1"/>
    <w:rsid w:val="00727E75"/>
    <w:rsid w:val="00737C35"/>
    <w:rsid w:val="0074030B"/>
    <w:rsid w:val="00755AED"/>
    <w:rsid w:val="00771A51"/>
    <w:rsid w:val="00776825"/>
    <w:rsid w:val="007A2EB6"/>
    <w:rsid w:val="007B14DC"/>
    <w:rsid w:val="007B6617"/>
    <w:rsid w:val="007D1E28"/>
    <w:rsid w:val="007E5F80"/>
    <w:rsid w:val="007F0F73"/>
    <w:rsid w:val="00812D2B"/>
    <w:rsid w:val="00820C41"/>
    <w:rsid w:val="00830742"/>
    <w:rsid w:val="00844827"/>
    <w:rsid w:val="00846862"/>
    <w:rsid w:val="00855166"/>
    <w:rsid w:val="0086504C"/>
    <w:rsid w:val="00872258"/>
    <w:rsid w:val="00883938"/>
    <w:rsid w:val="00890F28"/>
    <w:rsid w:val="008A02A5"/>
    <w:rsid w:val="008E4488"/>
    <w:rsid w:val="008E6167"/>
    <w:rsid w:val="008F2281"/>
    <w:rsid w:val="008F2374"/>
    <w:rsid w:val="008F5432"/>
    <w:rsid w:val="008F76DE"/>
    <w:rsid w:val="00900665"/>
    <w:rsid w:val="00903E20"/>
    <w:rsid w:val="00921209"/>
    <w:rsid w:val="00942451"/>
    <w:rsid w:val="00942E5B"/>
    <w:rsid w:val="0096630C"/>
    <w:rsid w:val="00983E45"/>
    <w:rsid w:val="00990714"/>
    <w:rsid w:val="009B3AFA"/>
    <w:rsid w:val="009B4DD8"/>
    <w:rsid w:val="009C0429"/>
    <w:rsid w:val="009E5E76"/>
    <w:rsid w:val="009F665E"/>
    <w:rsid w:val="009F7814"/>
    <w:rsid w:val="00A07949"/>
    <w:rsid w:val="00A21A41"/>
    <w:rsid w:val="00A2205C"/>
    <w:rsid w:val="00A343A9"/>
    <w:rsid w:val="00A37D5D"/>
    <w:rsid w:val="00A53B33"/>
    <w:rsid w:val="00A54799"/>
    <w:rsid w:val="00A63513"/>
    <w:rsid w:val="00A65EA2"/>
    <w:rsid w:val="00A9110A"/>
    <w:rsid w:val="00A91BDF"/>
    <w:rsid w:val="00AB774F"/>
    <w:rsid w:val="00AC197E"/>
    <w:rsid w:val="00AC5212"/>
    <w:rsid w:val="00AD0DFB"/>
    <w:rsid w:val="00AE05E7"/>
    <w:rsid w:val="00AE0D00"/>
    <w:rsid w:val="00B0142E"/>
    <w:rsid w:val="00B0500C"/>
    <w:rsid w:val="00B07DA5"/>
    <w:rsid w:val="00B27376"/>
    <w:rsid w:val="00B300D6"/>
    <w:rsid w:val="00B37192"/>
    <w:rsid w:val="00B37F90"/>
    <w:rsid w:val="00B530E9"/>
    <w:rsid w:val="00B6736D"/>
    <w:rsid w:val="00B77FD1"/>
    <w:rsid w:val="00B94BFF"/>
    <w:rsid w:val="00B95F25"/>
    <w:rsid w:val="00BC2E03"/>
    <w:rsid w:val="00BD4953"/>
    <w:rsid w:val="00BF7B5E"/>
    <w:rsid w:val="00C0515B"/>
    <w:rsid w:val="00C22813"/>
    <w:rsid w:val="00C35E8E"/>
    <w:rsid w:val="00C361A9"/>
    <w:rsid w:val="00C52279"/>
    <w:rsid w:val="00C63985"/>
    <w:rsid w:val="00C75BCF"/>
    <w:rsid w:val="00C80F23"/>
    <w:rsid w:val="00C85556"/>
    <w:rsid w:val="00C86A93"/>
    <w:rsid w:val="00C92209"/>
    <w:rsid w:val="00C95CE8"/>
    <w:rsid w:val="00CA4778"/>
    <w:rsid w:val="00CB03EF"/>
    <w:rsid w:val="00CB4560"/>
    <w:rsid w:val="00CC318A"/>
    <w:rsid w:val="00CC46A7"/>
    <w:rsid w:val="00CC55B3"/>
    <w:rsid w:val="00CD036D"/>
    <w:rsid w:val="00CD2B4A"/>
    <w:rsid w:val="00CD65A2"/>
    <w:rsid w:val="00CF3CE2"/>
    <w:rsid w:val="00CF7843"/>
    <w:rsid w:val="00D0430D"/>
    <w:rsid w:val="00D05179"/>
    <w:rsid w:val="00D0548A"/>
    <w:rsid w:val="00D32452"/>
    <w:rsid w:val="00D4716C"/>
    <w:rsid w:val="00D47A2A"/>
    <w:rsid w:val="00D54B0C"/>
    <w:rsid w:val="00D6003D"/>
    <w:rsid w:val="00D62EE1"/>
    <w:rsid w:val="00D75C3F"/>
    <w:rsid w:val="00D85407"/>
    <w:rsid w:val="00D94D74"/>
    <w:rsid w:val="00D96742"/>
    <w:rsid w:val="00DA4628"/>
    <w:rsid w:val="00DB291A"/>
    <w:rsid w:val="00DB54A8"/>
    <w:rsid w:val="00DB568D"/>
    <w:rsid w:val="00DB66DF"/>
    <w:rsid w:val="00DC3BE9"/>
    <w:rsid w:val="00DC4D38"/>
    <w:rsid w:val="00DF2CD2"/>
    <w:rsid w:val="00E117E3"/>
    <w:rsid w:val="00E11B5C"/>
    <w:rsid w:val="00E25584"/>
    <w:rsid w:val="00E4079D"/>
    <w:rsid w:val="00E40DB8"/>
    <w:rsid w:val="00E41217"/>
    <w:rsid w:val="00E42165"/>
    <w:rsid w:val="00E42474"/>
    <w:rsid w:val="00E5080B"/>
    <w:rsid w:val="00E53A58"/>
    <w:rsid w:val="00E60A1B"/>
    <w:rsid w:val="00E70184"/>
    <w:rsid w:val="00E82771"/>
    <w:rsid w:val="00E93DC7"/>
    <w:rsid w:val="00EA38BF"/>
    <w:rsid w:val="00EB5B79"/>
    <w:rsid w:val="00EB5F32"/>
    <w:rsid w:val="00EC6D69"/>
    <w:rsid w:val="00ED166C"/>
    <w:rsid w:val="00EE66C4"/>
    <w:rsid w:val="00EE703F"/>
    <w:rsid w:val="00EF069B"/>
    <w:rsid w:val="00EF1370"/>
    <w:rsid w:val="00EF5D05"/>
    <w:rsid w:val="00EF74D1"/>
    <w:rsid w:val="00F13114"/>
    <w:rsid w:val="00F23CB8"/>
    <w:rsid w:val="00F26E23"/>
    <w:rsid w:val="00F46CB7"/>
    <w:rsid w:val="00F5129E"/>
    <w:rsid w:val="00F51BA5"/>
    <w:rsid w:val="00F652C5"/>
    <w:rsid w:val="00F6676A"/>
    <w:rsid w:val="00F70C43"/>
    <w:rsid w:val="00F762D9"/>
    <w:rsid w:val="00FA7E32"/>
    <w:rsid w:val="00FB0C95"/>
    <w:rsid w:val="00FD0851"/>
    <w:rsid w:val="00FD3D66"/>
    <w:rsid w:val="00FD7316"/>
    <w:rsid w:val="00FE31D4"/>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1D7FF2C0-74C8-4F3A-A297-57681EAF2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paragraph" w:styleId="Poprawka">
    <w:name w:val="Revision"/>
    <w:hidden/>
    <w:uiPriority w:val="99"/>
    <w:semiHidden/>
    <w:rsid w:val="00E412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204729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9FD5-0681-4DA7-80DF-F6FBFCD7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3649</Words>
  <Characters>21895</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Bożena Brzękowska</cp:lastModifiedBy>
  <cp:revision>3</cp:revision>
  <cp:lastPrinted>2021-12-03T06:56:00Z</cp:lastPrinted>
  <dcterms:created xsi:type="dcterms:W3CDTF">2025-05-22T09:01:00Z</dcterms:created>
  <dcterms:modified xsi:type="dcterms:W3CDTF">2025-05-22T09:02:00Z</dcterms:modified>
</cp:coreProperties>
</file>