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E90F67">
        <w:rPr>
          <w:rFonts w:ascii="Garamond" w:eastAsia="Times New Roman" w:hAnsi="Garamond" w:cs="Times New Roman"/>
          <w:color w:val="000000" w:themeColor="text1"/>
          <w:lang w:eastAsia="pl-PL"/>
        </w:rPr>
        <w:t>20</w:t>
      </w:r>
      <w:r w:rsidR="00236BB7">
        <w:rPr>
          <w:rFonts w:ascii="Garamond" w:eastAsia="Times New Roman" w:hAnsi="Garamond" w:cs="Times New Roman"/>
          <w:color w:val="000000" w:themeColor="text1"/>
          <w:lang w:eastAsia="pl-PL"/>
        </w:rPr>
        <w:t>.05</w:t>
      </w:r>
      <w:r w:rsidR="00F47622" w:rsidRPr="00E85E7C">
        <w:rPr>
          <w:rFonts w:ascii="Garamond" w:eastAsia="Times New Roman" w:hAnsi="Garamond" w:cs="Times New Roman"/>
          <w:color w:val="000000" w:themeColor="text1"/>
          <w:lang w:eastAsia="pl-PL"/>
        </w:rPr>
        <w:t>.202</w:t>
      </w:r>
      <w:r w:rsidR="00D72FA0">
        <w:rPr>
          <w:rFonts w:ascii="Garamond" w:eastAsia="Times New Roman" w:hAnsi="Garamond" w:cs="Times New Roman"/>
          <w:color w:val="000000" w:themeColor="text1"/>
          <w:lang w:eastAsia="pl-PL"/>
        </w:rPr>
        <w:t>5</w:t>
      </w:r>
      <w:r w:rsidRPr="00E85E7C">
        <w:rPr>
          <w:rFonts w:ascii="Garamond" w:eastAsia="Times New Roman" w:hAnsi="Garamond" w:cs="Times New Roman"/>
          <w:color w:val="000000" w:themeColor="text1"/>
          <w:lang w:eastAsia="pl-PL"/>
        </w:rPr>
        <w:t xml:space="preserve"> r.</w:t>
      </w:r>
    </w:p>
    <w:p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236BB7">
        <w:rPr>
          <w:rFonts w:ascii="Garamond" w:eastAsia="Times New Roman" w:hAnsi="Garamond" w:cs="Times New Roman"/>
          <w:color w:val="000000" w:themeColor="text1"/>
          <w:lang w:eastAsia="pl-PL"/>
        </w:rPr>
        <w:t>69</w:t>
      </w:r>
      <w:r w:rsidR="006E59CC" w:rsidRPr="00E85E7C">
        <w:rPr>
          <w:rFonts w:ascii="Garamond" w:eastAsia="Times New Roman" w:hAnsi="Garamond" w:cs="Times New Roman"/>
          <w:color w:val="000000" w:themeColor="text1"/>
          <w:lang w:eastAsia="pl-PL"/>
        </w:rPr>
        <w:t>.202</w:t>
      </w:r>
      <w:r w:rsidR="004058E8">
        <w:rPr>
          <w:rFonts w:ascii="Garamond" w:eastAsia="Times New Roman" w:hAnsi="Garamond" w:cs="Times New Roman"/>
          <w:color w:val="000000" w:themeColor="text1"/>
          <w:lang w:eastAsia="pl-PL"/>
        </w:rPr>
        <w:t>5</w:t>
      </w:r>
      <w:r w:rsidR="00C329CB">
        <w:rPr>
          <w:rFonts w:ascii="Garamond" w:eastAsia="Times New Roman" w:hAnsi="Garamond" w:cs="Times New Roman"/>
          <w:color w:val="000000" w:themeColor="text1"/>
          <w:lang w:eastAsia="pl-PL"/>
        </w:rPr>
        <w:t>.LS</w:t>
      </w:r>
    </w:p>
    <w:p w:rsidR="00DB5A02" w:rsidRPr="00E85E7C" w:rsidRDefault="00DB5A02" w:rsidP="00E85E7C">
      <w:pPr>
        <w:spacing w:after="0" w:line="240" w:lineRule="auto"/>
        <w:jc w:val="both"/>
        <w:rPr>
          <w:rFonts w:ascii="Garamond" w:eastAsia="Times New Roman" w:hAnsi="Garamond" w:cs="Times New Roman"/>
          <w:color w:val="000000" w:themeColor="text1"/>
          <w:lang w:eastAsia="pl-PL"/>
        </w:rPr>
      </w:pPr>
    </w:p>
    <w:p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rsidR="006E59CC" w:rsidRPr="00E85E7C" w:rsidRDefault="006E59CC" w:rsidP="00E85E7C">
      <w:pPr>
        <w:spacing w:after="0" w:line="240" w:lineRule="auto"/>
        <w:rPr>
          <w:rFonts w:ascii="Garamond" w:eastAsia="Times New Roman" w:hAnsi="Garamond" w:cs="Times New Roman"/>
          <w:b/>
          <w:bCs/>
          <w:color w:val="000000" w:themeColor="text1"/>
          <w:lang w:eastAsia="pl-PL"/>
        </w:rPr>
      </w:pPr>
    </w:p>
    <w:p w:rsidR="00DB5A02" w:rsidRPr="00E85E7C" w:rsidRDefault="00DB5A02" w:rsidP="00E85E7C">
      <w:pPr>
        <w:spacing w:after="0" w:line="240" w:lineRule="auto"/>
        <w:ind w:left="851" w:hanging="851"/>
        <w:jc w:val="both"/>
        <w:rPr>
          <w:rFonts w:ascii="Garamond" w:eastAsia="Times New Roman" w:hAnsi="Garamond" w:cs="Times New Roman"/>
          <w:bCs/>
          <w:color w:val="000000" w:themeColor="text1"/>
          <w:lang w:eastAsia="pl-PL"/>
        </w:rPr>
      </w:pPr>
    </w:p>
    <w:p w:rsidR="008D09C9" w:rsidRPr="0038732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postępowania o udz</w:t>
      </w:r>
      <w:r w:rsidR="000D6806">
        <w:rPr>
          <w:rFonts w:ascii="Garamond" w:eastAsia="Times New Roman" w:hAnsi="Garamond" w:cs="Times New Roman"/>
          <w:color w:val="000000" w:themeColor="text1"/>
          <w:lang w:eastAsia="pl-PL"/>
        </w:rPr>
        <w:t>ielenie zamówienia publicznego pn.</w:t>
      </w:r>
      <w:r w:rsidRPr="00E85E7C">
        <w:rPr>
          <w:rFonts w:ascii="Garamond" w:eastAsia="Times New Roman" w:hAnsi="Garamond" w:cs="Times New Roman"/>
          <w:color w:val="000000" w:themeColor="text1"/>
          <w:lang w:eastAsia="pl-PL"/>
        </w:rPr>
        <w:t xml:space="preserve"> </w:t>
      </w:r>
      <w:r w:rsidR="00236BB7" w:rsidRPr="00236BB7">
        <w:rPr>
          <w:rFonts w:ascii="Garamond" w:eastAsia="Times New Roman" w:hAnsi="Garamond" w:cs="Times New Roman"/>
          <w:bCs/>
          <w:iCs/>
          <w:color w:val="000000" w:themeColor="text1"/>
          <w:lang w:eastAsia="pl-PL"/>
        </w:rPr>
        <w:t>dostawa materiałów kardiologicznych do zabiegów sercowych oraz dzierżawa urządzenia dla Szpitala Uniwersyteckiego w Krakowie</w:t>
      </w:r>
      <w:r w:rsidR="008D09C9" w:rsidRPr="0038732C">
        <w:rPr>
          <w:rFonts w:ascii="Garamond" w:eastAsia="Times New Roman" w:hAnsi="Garamond" w:cs="Times New Roman"/>
          <w:bCs/>
          <w:iCs/>
          <w:color w:val="000000" w:themeColor="text1"/>
          <w:lang w:eastAsia="pl-PL"/>
        </w:rPr>
        <w:t>.</w:t>
      </w:r>
    </w:p>
    <w:p w:rsidR="00DA5168" w:rsidRPr="00E85E7C" w:rsidRDefault="00DA5168" w:rsidP="00E85E7C">
      <w:pPr>
        <w:spacing w:after="0" w:line="240" w:lineRule="auto"/>
        <w:jc w:val="both"/>
        <w:rPr>
          <w:rFonts w:ascii="Garamond" w:eastAsia="Times New Roman" w:hAnsi="Garamond" w:cs="Times New Roman"/>
          <w:bCs/>
          <w:iCs/>
          <w:color w:val="000000" w:themeColor="text1"/>
          <w:lang w:eastAsia="pl-PL"/>
        </w:rPr>
      </w:pPr>
    </w:p>
    <w:p w:rsidR="00A70379" w:rsidRPr="00E85E7C"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rsidR="00236BB7" w:rsidRPr="00236BB7" w:rsidRDefault="00236BB7" w:rsidP="00236BB7">
      <w:pPr>
        <w:spacing w:after="0" w:line="240" w:lineRule="auto"/>
        <w:ind w:firstLine="708"/>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w:t>
      </w:r>
    </w:p>
    <w:p w:rsidR="00056A8A" w:rsidRPr="00E85E7C" w:rsidRDefault="00056A8A" w:rsidP="00E85E7C">
      <w:pPr>
        <w:spacing w:after="0" w:line="240" w:lineRule="auto"/>
        <w:ind w:firstLine="708"/>
        <w:jc w:val="both"/>
        <w:rPr>
          <w:rFonts w:ascii="Garamond" w:eastAsia="Times New Roman" w:hAnsi="Garamond" w:cs="Times New Roman"/>
          <w:color w:val="000000" w:themeColor="text1"/>
          <w:lang w:eastAsia="pl-PL"/>
        </w:rPr>
      </w:pPr>
    </w:p>
    <w:p w:rsidR="00632D6F" w:rsidRPr="00E85E7C" w:rsidRDefault="00632D6F" w:rsidP="00E85E7C">
      <w:pPr>
        <w:spacing w:after="0" w:line="240" w:lineRule="auto"/>
        <w:jc w:val="both"/>
        <w:rPr>
          <w:rFonts w:ascii="Garamond" w:eastAsia="Times New Roman" w:hAnsi="Garamond" w:cs="Times New Roman"/>
          <w:color w:val="000000" w:themeColor="text1"/>
          <w:lang w:eastAsia="pl-PL"/>
        </w:rPr>
      </w:pPr>
    </w:p>
    <w:p w:rsidR="002E1600" w:rsidRPr="00E85E7C" w:rsidRDefault="002E1600" w:rsidP="00E85E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03A86" w:rsidRPr="00E85E7C">
        <w:rPr>
          <w:rFonts w:ascii="Garamond" w:eastAsia="Times New Roman" w:hAnsi="Garamond" w:cs="Times New Roman"/>
          <w:b/>
          <w:bCs/>
          <w:color w:val="000000" w:themeColor="text1"/>
          <w:lang w:eastAsia="pl-PL"/>
        </w:rPr>
        <w:t>1</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(załącznik 3 do SWZ- dla cz. 2):</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Czy Zamawiający wyrazi zgodę na dodanie do projektu umowy zapisów dotyczących zapewnienia warunków przechowywania i transportu, o których mowa w art. 14 ust. 3 Rozporządzenia Parlamentu Europejskiego i Rady (UE) 2017/745 z dnia 5 kwietnia 2017 r. w sprawie wyrobów medycznych:</w:t>
      </w:r>
    </w:p>
    <w:p w:rsidR="0038732C" w:rsidRPr="0038732C"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„Zamawiający zapewni, aby wyroby medyczne objęte zakresem przedmiotowej umowy były przechowywane i transportowane wewnętrznie w ramach ośrodka zgodnie z warunkami określonymi przez producenta.”</w:t>
      </w:r>
    </w:p>
    <w:p w:rsidR="0038732C" w:rsidRDefault="0038732C" w:rsidP="0038732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38732C">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Default="00236BB7" w:rsidP="00236BB7">
      <w:pPr>
        <w:spacing w:after="0" w:line="240" w:lineRule="auto"/>
        <w:jc w:val="both"/>
        <w:rPr>
          <w:rFonts w:ascii="Garamond" w:eastAsia="Times New Roman" w:hAnsi="Garamond" w:cs="Times New Roman"/>
          <w:bCs/>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(załącznik 3 do SWZ- dla cz. 2):</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Wnosimy o dokonanie zmiany § 7 ust. 2 pkt 1) i 2) projektowanych postanowień umowy poprzez obniżenie określonej w tym postanowieniu wysokości kary umownej z 2% o 0,5%.</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Określona w projektowanych postanowieniach umowy kara umowna z tytułu zwłoki w dostawie w wysokości aż 2% za każdy dzień zwłoki jest - w ocenie Wykonawcy, a także w świetle orzecznictwa - rażąco wygórowana. Tak określona kara umowna prowadzi do zachwiania relacji pomiędzy wysokością wynagrodzenia za dostawę towaru a wysokością kary umownej zastrzeżonej za zwłokę w wykonaniu przedmiotu umowy z uwzględnieniem okresu zwłoki. Jak wskazuje się w orzecznictwie „kara umowna nie może być instrumentem służącym wzbogaceniu wierzyciela, a zatem przyznającym mu korzyść majątkową w istotny sposób przekraczającą wysokość poniesionej przez wierzyciela szkody” (wyrok SN z 24.01.2014 r., I CSK 124/13). Choćby udostępnione na stronie internetowej Urzędu Zamówień Publicznych przykłady negatywnych i dobrych praktyk kontraktowych jasno określają, że w przypadku zwłoki w dostawie kary umowne powinny mieścić się w przedziale 0,1%</w:t>
      </w:r>
      <w:r w:rsidRPr="00236BB7">
        <w:rPr>
          <w:rFonts w:ascii="Times New Roman" w:eastAsia="Times New Roman" w:hAnsi="Times New Roman" w:cs="Times New Roman"/>
          <w:color w:val="000000" w:themeColor="text1"/>
          <w:lang w:eastAsia="pl-PL"/>
        </w:rPr>
        <w:t>‐</w:t>
      </w:r>
      <w:r w:rsidRPr="00236BB7">
        <w:rPr>
          <w:rFonts w:ascii="Garamond" w:eastAsia="Times New Roman" w:hAnsi="Garamond" w:cs="Times New Roman"/>
          <w:color w:val="000000" w:themeColor="text1"/>
          <w:lang w:eastAsia="pl-PL"/>
        </w:rPr>
        <w:t>0,5% za ka</w:t>
      </w:r>
      <w:r w:rsidRPr="00236BB7">
        <w:rPr>
          <w:rFonts w:ascii="Garamond" w:eastAsia="Times New Roman" w:hAnsi="Garamond" w:cs="Garamond"/>
          <w:color w:val="000000" w:themeColor="text1"/>
          <w:lang w:eastAsia="pl-PL"/>
        </w:rPr>
        <w:t>ż</w:t>
      </w:r>
      <w:r w:rsidRPr="00236BB7">
        <w:rPr>
          <w:rFonts w:ascii="Garamond" w:eastAsia="Times New Roman" w:hAnsi="Garamond" w:cs="Times New Roman"/>
          <w:color w:val="000000" w:themeColor="text1"/>
          <w:lang w:eastAsia="pl-PL"/>
        </w:rPr>
        <w:t>dy dzie</w:t>
      </w:r>
      <w:r w:rsidRPr="00236BB7">
        <w:rPr>
          <w:rFonts w:ascii="Garamond" w:eastAsia="Times New Roman" w:hAnsi="Garamond" w:cs="Garamond"/>
          <w:color w:val="000000" w:themeColor="text1"/>
          <w:lang w:eastAsia="pl-PL"/>
        </w:rPr>
        <w:t>ń</w:t>
      </w:r>
      <w:r w:rsidRPr="00236BB7">
        <w:rPr>
          <w:rFonts w:ascii="Garamond" w:eastAsia="Times New Roman" w:hAnsi="Garamond" w:cs="Times New Roman"/>
          <w:color w:val="000000" w:themeColor="text1"/>
          <w:lang w:eastAsia="pl-PL"/>
        </w:rPr>
        <w:t xml:space="preserve"> zw</w:t>
      </w:r>
      <w:r w:rsidRPr="00236BB7">
        <w:rPr>
          <w:rFonts w:ascii="Garamond" w:eastAsia="Times New Roman" w:hAnsi="Garamond" w:cs="Garamond"/>
          <w:color w:val="000000" w:themeColor="text1"/>
          <w:lang w:eastAsia="pl-PL"/>
        </w:rPr>
        <w:t>ł</w:t>
      </w:r>
      <w:r w:rsidRPr="00236BB7">
        <w:rPr>
          <w:rFonts w:ascii="Garamond" w:eastAsia="Times New Roman" w:hAnsi="Garamond" w:cs="Times New Roman"/>
          <w:color w:val="000000" w:themeColor="text1"/>
          <w:lang w:eastAsia="pl-PL"/>
        </w:rPr>
        <w:t>oki i dotyczy</w:t>
      </w:r>
      <w:r w:rsidRPr="00236BB7">
        <w:rPr>
          <w:rFonts w:ascii="Garamond" w:eastAsia="Times New Roman" w:hAnsi="Garamond" w:cs="Garamond"/>
          <w:color w:val="000000" w:themeColor="text1"/>
          <w:lang w:eastAsia="pl-PL"/>
        </w:rPr>
        <w:t>ć</w:t>
      </w:r>
      <w:r w:rsidRPr="00236BB7">
        <w:rPr>
          <w:rFonts w:ascii="Garamond" w:eastAsia="Times New Roman" w:hAnsi="Garamond" w:cs="Times New Roman"/>
          <w:color w:val="000000" w:themeColor="text1"/>
          <w:lang w:eastAsia="pl-PL"/>
        </w:rPr>
        <w:t xml:space="preserve"> wy</w:t>
      </w:r>
      <w:r w:rsidRPr="00236BB7">
        <w:rPr>
          <w:rFonts w:ascii="Garamond" w:eastAsia="Times New Roman" w:hAnsi="Garamond" w:cs="Garamond"/>
          <w:color w:val="000000" w:themeColor="text1"/>
          <w:lang w:eastAsia="pl-PL"/>
        </w:rPr>
        <w:t>łą</w:t>
      </w:r>
      <w:r w:rsidRPr="00236BB7">
        <w:rPr>
          <w:rFonts w:ascii="Garamond" w:eastAsia="Times New Roman" w:hAnsi="Garamond" w:cs="Times New Roman"/>
          <w:color w:val="000000" w:themeColor="text1"/>
          <w:lang w:eastAsia="pl-PL"/>
        </w:rPr>
        <w:t>cznie cz</w:t>
      </w:r>
      <w:r w:rsidRPr="00236BB7">
        <w:rPr>
          <w:rFonts w:ascii="Garamond" w:eastAsia="Times New Roman" w:hAnsi="Garamond" w:cs="Garamond"/>
          <w:color w:val="000000" w:themeColor="text1"/>
          <w:lang w:eastAsia="pl-PL"/>
        </w:rPr>
        <w:t>ęś</w:t>
      </w:r>
      <w:r w:rsidRPr="00236BB7">
        <w:rPr>
          <w:rFonts w:ascii="Garamond" w:eastAsia="Times New Roman" w:hAnsi="Garamond" w:cs="Times New Roman"/>
          <w:color w:val="000000" w:themeColor="text1"/>
          <w:lang w:eastAsia="pl-PL"/>
        </w:rPr>
        <w:t>ci zam</w:t>
      </w:r>
      <w:r w:rsidRPr="00236BB7">
        <w:rPr>
          <w:rFonts w:ascii="Garamond" w:eastAsia="Times New Roman" w:hAnsi="Garamond" w:cs="Garamond"/>
          <w:color w:val="000000" w:themeColor="text1"/>
          <w:lang w:eastAsia="pl-PL"/>
        </w:rPr>
        <w:t>ó</w:t>
      </w:r>
      <w:r w:rsidRPr="00236BB7">
        <w:rPr>
          <w:rFonts w:ascii="Garamond" w:eastAsia="Times New Roman" w:hAnsi="Garamond" w:cs="Times New Roman"/>
          <w:color w:val="000000" w:themeColor="text1"/>
          <w:lang w:eastAsia="pl-PL"/>
        </w:rPr>
        <w:t>wienia, kt</w:t>
      </w:r>
      <w:r w:rsidRPr="00236BB7">
        <w:rPr>
          <w:rFonts w:ascii="Garamond" w:eastAsia="Times New Roman" w:hAnsi="Garamond" w:cs="Garamond"/>
          <w:color w:val="000000" w:themeColor="text1"/>
          <w:lang w:eastAsia="pl-PL"/>
        </w:rPr>
        <w:t>ó</w:t>
      </w:r>
      <w:r w:rsidRPr="00236BB7">
        <w:rPr>
          <w:rFonts w:ascii="Garamond" w:eastAsia="Times New Roman" w:hAnsi="Garamond" w:cs="Times New Roman"/>
          <w:color w:val="000000" w:themeColor="text1"/>
          <w:lang w:eastAsia="pl-PL"/>
        </w:rPr>
        <w:t>rego rzeczywi</w:t>
      </w:r>
      <w:r w:rsidRPr="00236BB7">
        <w:rPr>
          <w:rFonts w:ascii="Garamond" w:eastAsia="Times New Roman" w:hAnsi="Garamond" w:cs="Garamond"/>
          <w:color w:val="000000" w:themeColor="text1"/>
          <w:lang w:eastAsia="pl-PL"/>
        </w:rPr>
        <w:t>ś</w:t>
      </w:r>
      <w:r w:rsidRPr="00236BB7">
        <w:rPr>
          <w:rFonts w:ascii="Garamond" w:eastAsia="Times New Roman" w:hAnsi="Garamond" w:cs="Times New Roman"/>
          <w:color w:val="000000" w:themeColor="text1"/>
          <w:lang w:eastAsia="pl-PL"/>
        </w:rPr>
        <w:t>cie dotyczy naruszenie umowy. Zastrze</w:t>
      </w:r>
      <w:r w:rsidRPr="00236BB7">
        <w:rPr>
          <w:rFonts w:ascii="Garamond" w:eastAsia="Times New Roman" w:hAnsi="Garamond" w:cs="Garamond"/>
          <w:color w:val="000000" w:themeColor="text1"/>
          <w:lang w:eastAsia="pl-PL"/>
        </w:rPr>
        <w:t>ż</w:t>
      </w:r>
      <w:r w:rsidRPr="00236BB7">
        <w:rPr>
          <w:rFonts w:ascii="Garamond" w:eastAsia="Times New Roman" w:hAnsi="Garamond" w:cs="Times New Roman"/>
          <w:color w:val="000000" w:themeColor="text1"/>
          <w:lang w:eastAsia="pl-PL"/>
        </w:rPr>
        <w:t>enie kar umownych w nadmiernej wysokości może oznaczać, iż Zamawiający naruszył dyrektywy kształtowania treści SWZ zawarte w PZP (por. wyrok KIO z 31.07.2015 r., sygn. KIO 1519/15).</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36BB7" w:rsidRDefault="00E90F67" w:rsidP="00236BB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E90F67" w:rsidRPr="00236BB7" w:rsidRDefault="00E90F6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3</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(załącznik 3 do SWZ- dla cz. 2):</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lastRenderedPageBreak/>
        <w:t xml:space="preserve">Wnosimy o dokonanie zmiany § 7 ust. 3 projektowanych postanowień umowy poprzez obniżenie wysokości określonej w tym postanowieniu kary umownej z tytułu odstąpienia od umowy do 10% wynagrodzenia brutto Wykonawcy. </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 xml:space="preserve">Określona w projektowanych postanowieniach umowy kara umowna z tytułu odstąpienia od umowy z przyczyn dotyczących Wykonawcy w wysokości aż 20% wynagrodzenia [netto/brutto] Wykonawcy jest rażąco wygórowana. Jak wskazuje się w orzecznictwie „kara umowna nie może być instrumentem służącym wzbogaceniu wierzyciela, a zatem przyznającym mu korzyść majątkową w istotny sposób przekraczającą wysokość poniesionej przez wierzyciela szkody” (wyrok SN z 24.01.2014 r., I CSK 124/13). Również Krajowa Izba Odwoławcza orzekła, że Zamawiający zobligowany jest do stosowania w postępowaniu takich środków, które są adekwatne do realizacji danego celu i proporcjonalne do jego istoty, co powinno przekładać się na jak najmniej dotkliwe dla wykonawcy postanowienia, postanowienia o karach umownych nie powinny zaprzeczać charakterowi prawnemu instytucji kary umownej, kary umowne nie powinny stanowić sankcji oderwanej od wagi danego naruszenia obowiązków, ani też prowadzić do nieuprawnionego wzbogacenia Zamawiającego kosztem Wykonawcy (wyrok KIO z 16.07.2020 r., KIO 1089/20). Choćby udostępnione na stronie internetowej Urzędu Zamówień Publicznych przykłady negatywnych i dobrych praktyk kontraktowych jasno określają, że kary umowne za </w:t>
      </w:r>
      <w:proofErr w:type="spellStart"/>
      <w:r w:rsidRPr="00236BB7">
        <w:rPr>
          <w:rFonts w:ascii="Garamond" w:eastAsia="Times New Roman" w:hAnsi="Garamond" w:cs="Times New Roman"/>
          <w:color w:val="000000" w:themeColor="text1"/>
          <w:lang w:eastAsia="pl-PL"/>
        </w:rPr>
        <w:t>za</w:t>
      </w:r>
      <w:proofErr w:type="spellEnd"/>
      <w:r w:rsidRPr="00236BB7">
        <w:rPr>
          <w:rFonts w:ascii="Garamond" w:eastAsia="Times New Roman" w:hAnsi="Garamond" w:cs="Times New Roman"/>
          <w:color w:val="000000" w:themeColor="text1"/>
          <w:lang w:eastAsia="pl-PL"/>
        </w:rPr>
        <w:t xml:space="preserve"> odstąpienie od umowy nie powinny być wyższe niż 10% wynagrodzenia umownego wykonawcy. </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E90F6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4</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sidRPr="00236BB7">
        <w:rPr>
          <w:rFonts w:ascii="Garamond" w:eastAsia="Times New Roman" w:hAnsi="Garamond" w:cs="Times New Roman"/>
          <w:bCs/>
          <w:color w:val="000000" w:themeColor="text1"/>
          <w:lang w:eastAsia="pl-PL"/>
        </w:rPr>
        <w:t>(załącznik 3 do SWZ- dla cz. 2):</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Wnosimy o dokonanie zmiany § 7 ust. 4 projektowanych postanowień umowy poprzez obniżenie określonej nim łącznej maksymalnej wysokości kar umownych z 30% do 20 % wynagrodzenia netto Wykonawcy.</w:t>
      </w:r>
    </w:p>
    <w:p w:rsid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 xml:space="preserve">Rolą art. 436 pkt 3 PZP nakazującego określenie maksymalnej wysokości kar umownych, których mogą dochodzić strony jest ochrona interesów wykonawców przed nieuzasadnionym zastrzeganiem w umowie wysokich kar umownych (M. Sieradzka (red.), Komentarz do art. 436 PZP [w:] Prawo zamówień publicznych. Komentarz, Warszawa 2022). Zawarta w umowie maksymalna wysokość kar w wysokości aż 30% wynagrodzenia Wykonawcy jest rażąco wygórowana. Tak określona kara umowna prowadzi do zachwiania relacji pomiędzy wysokością wynagrodzenia za dostawę produktów na podstawie umowy a wysokością kary umownej. W orzecznictwie uznaje się, że nawet 20% wynagrodzenia umownego może być uznana za karą rażąco wygórowaną (por. wyrok Sądu Najwyższego z 27.04.2022 r., II CSKP 59/22, wyrok Sądu Apelacyjnego w Poznaniu z 29.06.2022 r., I </w:t>
      </w:r>
      <w:proofErr w:type="spellStart"/>
      <w:r w:rsidRPr="00236BB7">
        <w:rPr>
          <w:rFonts w:ascii="Garamond" w:eastAsia="Times New Roman" w:hAnsi="Garamond" w:cs="Times New Roman"/>
          <w:color w:val="000000" w:themeColor="text1"/>
          <w:lang w:eastAsia="pl-PL"/>
        </w:rPr>
        <w:t>AGa</w:t>
      </w:r>
      <w:proofErr w:type="spellEnd"/>
      <w:r w:rsidRPr="00236BB7">
        <w:rPr>
          <w:rFonts w:ascii="Garamond" w:eastAsia="Times New Roman" w:hAnsi="Garamond" w:cs="Times New Roman"/>
          <w:color w:val="000000" w:themeColor="text1"/>
          <w:lang w:eastAsia="pl-PL"/>
        </w:rPr>
        <w:t xml:space="preserve"> 205/21). Co prawda 436 pkt 3 PZP nie określa maksymalnego poziomu kar wiążącego wszystkich zamawiających, jednak w jednej z wersji projektu ustawy proponowano, aby łączna wysokość kar umownych nie mogła przekroczyć właśnie 20% wartości netto umowy (E. Wiktorowska [w:] A. Gawrońska-Baran, A. Wiktorowski, P. Wójcik, E. Wiktorowska, Prawo zamówień publicznych. Komentarz aktualizowany, LEX/el. 2024, art. 436). Powyższe uzasadnia obniżenie maksymalnej wysokości kar umownych co najmniej do 20% wynagrodzenia netto Wykonawcy.</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E90F6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5</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(załącznik 3 do SWZ- dla cz. 1</w:t>
      </w:r>
      <w:r w:rsidRPr="00236BB7">
        <w:rPr>
          <w:rFonts w:ascii="Garamond" w:eastAsia="Times New Roman" w:hAnsi="Garamond" w:cs="Times New Roman"/>
          <w:bCs/>
          <w:color w:val="000000" w:themeColor="text1"/>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Wnosimy o dokonanie zmiany § 7 ust. 2 projektowanych postanowień umowy poprzez obniżenie określonej w tym postanowieniu wysokości kary umownej z 2% o 0,5%.</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 xml:space="preserve">Określona w projektowanych postanowieniach umowy kara umowna z tytułu zwłoki w dostawie w wysokości aż 2% za każdy dzień zwłoki jest - w ocenie Wykonawcy, a także w świetle orzecznictwa - rażąco wygórowana. Tak określona kara umowna prowadzi do zachwiania relacji pomiędzy wysokością </w:t>
      </w:r>
      <w:r w:rsidRPr="00236BB7">
        <w:rPr>
          <w:rFonts w:ascii="Garamond" w:eastAsia="Times New Roman" w:hAnsi="Garamond" w:cs="Times New Roman"/>
          <w:color w:val="000000" w:themeColor="text1"/>
          <w:lang w:eastAsia="pl-PL"/>
        </w:rPr>
        <w:lastRenderedPageBreak/>
        <w:t>wynagrodzenia za dostawę towaru a wysokością kary umownej zastrzeżonej za zwłokę w wykonaniu przedmiotu umowy z uwzględnieniem okresu zwłoki. Jak wskazuje się w orzecznictwie „kara umowna nie może być instrumentem służącym wzbogaceniu wierzyciela, a zatem przyznającym mu korzyść majątkową w istotny sposób przekraczającą wysokość poniesionej przez wierzyciela szkody” (wyrok SN z 24.01.2014 r., I CSK 124/13). Choćby udostępnione na stronie internetowej Urzędu Zamówień Publicznych przykłady negatywnych i dobrych praktyk kontraktowych jasno określają, że w przypadku zwłoki w dostawie kary umowne powinny mieścić się w przedziale 0,1%</w:t>
      </w:r>
      <w:r w:rsidRPr="00236BB7">
        <w:rPr>
          <w:rFonts w:ascii="Times New Roman" w:eastAsia="Times New Roman" w:hAnsi="Times New Roman" w:cs="Times New Roman"/>
          <w:color w:val="000000" w:themeColor="text1"/>
          <w:lang w:eastAsia="pl-PL"/>
        </w:rPr>
        <w:t>‐</w:t>
      </w:r>
      <w:r w:rsidRPr="00236BB7">
        <w:rPr>
          <w:rFonts w:ascii="Garamond" w:eastAsia="Times New Roman" w:hAnsi="Garamond" w:cs="Times New Roman"/>
          <w:color w:val="000000" w:themeColor="text1"/>
          <w:lang w:eastAsia="pl-PL"/>
        </w:rPr>
        <w:t>0,5% za ka</w:t>
      </w:r>
      <w:r w:rsidRPr="00236BB7">
        <w:rPr>
          <w:rFonts w:ascii="Garamond" w:eastAsia="Times New Roman" w:hAnsi="Garamond" w:cs="Garamond"/>
          <w:color w:val="000000" w:themeColor="text1"/>
          <w:lang w:eastAsia="pl-PL"/>
        </w:rPr>
        <w:t>ż</w:t>
      </w:r>
      <w:r w:rsidRPr="00236BB7">
        <w:rPr>
          <w:rFonts w:ascii="Garamond" w:eastAsia="Times New Roman" w:hAnsi="Garamond" w:cs="Times New Roman"/>
          <w:color w:val="000000" w:themeColor="text1"/>
          <w:lang w:eastAsia="pl-PL"/>
        </w:rPr>
        <w:t>dy dzie</w:t>
      </w:r>
      <w:r w:rsidRPr="00236BB7">
        <w:rPr>
          <w:rFonts w:ascii="Garamond" w:eastAsia="Times New Roman" w:hAnsi="Garamond" w:cs="Garamond"/>
          <w:color w:val="000000" w:themeColor="text1"/>
          <w:lang w:eastAsia="pl-PL"/>
        </w:rPr>
        <w:t>ń</w:t>
      </w:r>
      <w:r w:rsidRPr="00236BB7">
        <w:rPr>
          <w:rFonts w:ascii="Garamond" w:eastAsia="Times New Roman" w:hAnsi="Garamond" w:cs="Times New Roman"/>
          <w:color w:val="000000" w:themeColor="text1"/>
          <w:lang w:eastAsia="pl-PL"/>
        </w:rPr>
        <w:t xml:space="preserve"> zw</w:t>
      </w:r>
      <w:r w:rsidRPr="00236BB7">
        <w:rPr>
          <w:rFonts w:ascii="Garamond" w:eastAsia="Times New Roman" w:hAnsi="Garamond" w:cs="Garamond"/>
          <w:color w:val="000000" w:themeColor="text1"/>
          <w:lang w:eastAsia="pl-PL"/>
        </w:rPr>
        <w:t>ł</w:t>
      </w:r>
      <w:r w:rsidRPr="00236BB7">
        <w:rPr>
          <w:rFonts w:ascii="Garamond" w:eastAsia="Times New Roman" w:hAnsi="Garamond" w:cs="Times New Roman"/>
          <w:color w:val="000000" w:themeColor="text1"/>
          <w:lang w:eastAsia="pl-PL"/>
        </w:rPr>
        <w:t>oki i dotyczyć wyłącznie części zamówienia, którego rzeczywiście dotyczy naruszenie umowy. Zastrzeżenie kar umownych w nadmiernej wysokości może oznaczać, iż Zamawiający naruszył dyrektywy kształtowania treści SWZ zawarte w PZP (por. wyrok KIO z 31.07.2015 r., sygn. KIO 1519/15).</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E90F6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6</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(załącznik 3 do SWZ- dla cz. 1</w:t>
      </w:r>
      <w:r w:rsidRPr="00236BB7">
        <w:rPr>
          <w:rFonts w:ascii="Garamond" w:eastAsia="Times New Roman" w:hAnsi="Garamond" w:cs="Times New Roman"/>
          <w:bCs/>
          <w:color w:val="000000" w:themeColor="text1"/>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Wnosimy o dokonanie zmiany § 7 ust. 3 projektowanych postanowień umowy poprzez obniżenie wysokości określonej w tym postanowieniu kary umownej z tytułu odstąpienia od umowy do 10% wynagrodzenia brutto Wykonawcy.</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 xml:space="preserve">Określona w projektowanych postanowieniach umowy kara umowna z tytułu odstąpienia od umowy z przyczyn dotyczących Wykonawcy w wysokości aż 20% wynagrodzenia [netto/brutto] Wykonawcy jest rażąco wygórowana. Jak wskazuje się w orzecznictwie „kara umowna nie może być instrumentem służącym wzbogaceniu wierzyciela, a zatem przyznającym mu korzyść majątkową w istotny sposób przekraczającą wysokość poniesionej przez wierzyciela szkody” (wyrok SN z 24.01.2014 r., I CSK 124/13). Również Krajowa Izba Odwoławcza orzekła, że Zamawiający zobligowany jest do stosowania w postępowaniu takich środków, które są adekwatne do realizacji danego celu i proporcjonalne do jego istoty, co powinno przekładać się na jak najmniej dotkliwe dla wykonawcy postanowienia, postanowienia o karach umownych nie powinny zaprzeczać charakterowi prawnemu instytucji kary umownej, kary umowne nie powinny stanowić sankcji oderwanej od wagi danego naruszenia obowiązków, ani też prowadzić do nieuprawnionego wzbogacenia Zamawiającego kosztem Wykonawcy (wyrok KIO z 16.07.2020 r., KIO 1089/20). Choćby udostępnione na stronie internetowej Urzędu Zamówień Publicznych przykłady negatywnych i dobrych praktyk kontraktowych jasno określają, że kary umowne za </w:t>
      </w:r>
      <w:proofErr w:type="spellStart"/>
      <w:r w:rsidRPr="00236BB7">
        <w:rPr>
          <w:rFonts w:ascii="Garamond" w:eastAsia="Times New Roman" w:hAnsi="Garamond" w:cs="Times New Roman"/>
          <w:color w:val="000000" w:themeColor="text1"/>
          <w:lang w:eastAsia="pl-PL"/>
        </w:rPr>
        <w:t>za</w:t>
      </w:r>
      <w:proofErr w:type="spellEnd"/>
      <w:r w:rsidRPr="00236BB7">
        <w:rPr>
          <w:rFonts w:ascii="Garamond" w:eastAsia="Times New Roman" w:hAnsi="Garamond" w:cs="Times New Roman"/>
          <w:color w:val="000000" w:themeColor="text1"/>
          <w:lang w:eastAsia="pl-PL"/>
        </w:rPr>
        <w:t xml:space="preserve"> odstąpienie od umowy nie powinny być wyższe niż 10% wynagrodzenia umownego wykonawcy.</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E90F6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7</w:t>
      </w:r>
    </w:p>
    <w:p w:rsidR="00236BB7" w:rsidRPr="00236BB7" w:rsidRDefault="00236BB7" w:rsidP="00236BB7">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(załącznik 3 do SWZ- dla cz. 1</w:t>
      </w:r>
      <w:r w:rsidRPr="00236BB7">
        <w:rPr>
          <w:rFonts w:ascii="Garamond" w:eastAsia="Times New Roman" w:hAnsi="Garamond" w:cs="Times New Roman"/>
          <w:bCs/>
          <w:color w:val="000000" w:themeColor="text1"/>
          <w:lang w:eastAsia="pl-PL"/>
        </w:rPr>
        <w:t>):</w:t>
      </w:r>
    </w:p>
    <w:p w:rsidR="00236BB7" w:rsidRP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Wnosimy o dokonanie zmiany § 7 ust. 4 projektowanych postanowień umowy poprzez obniżenie określonej nim łącznej maksymalnej wysokości kar umownych z 30% do 20 % wynagrodzenia netto Wykonawcy.</w:t>
      </w:r>
    </w:p>
    <w:p w:rsidR="00236BB7" w:rsidRDefault="00236BB7" w:rsidP="00236BB7">
      <w:pPr>
        <w:spacing w:after="0" w:line="240" w:lineRule="auto"/>
        <w:jc w:val="both"/>
        <w:rPr>
          <w:rFonts w:ascii="Garamond" w:eastAsia="Times New Roman" w:hAnsi="Garamond" w:cs="Times New Roman"/>
          <w:color w:val="000000" w:themeColor="text1"/>
          <w:lang w:eastAsia="pl-PL"/>
        </w:rPr>
      </w:pPr>
      <w:r w:rsidRPr="00236BB7">
        <w:rPr>
          <w:rFonts w:ascii="Garamond" w:eastAsia="Times New Roman" w:hAnsi="Garamond" w:cs="Times New Roman"/>
          <w:color w:val="000000" w:themeColor="text1"/>
          <w:lang w:eastAsia="pl-PL"/>
        </w:rPr>
        <w:t xml:space="preserve">Rolą art. 436 pkt 3 PZP nakazującego określenie maksymalnej wysokości kar umownych, których mogą dochodzić strony jest ochrona interesów wykonawców przed nieuzasadnionym zastrzeganiem w umowie wysokich kar umownych (M. Sieradzka (red.), Komentarz do art. 436 PZP [w:] Prawo zamówień publicznych. Komentarz, Warszawa 2022). Zawarta w umowie maksymalna wysokość kar w wysokości aż 30% wynagrodzenia Wykonawcy jest rażąco wygórowana. Tak określona kara umowna prowadzi do zachwiania relacji pomiędzy wysokością wynagrodzenia za dostawę produktów na podstawie umowy a wysokością kary umownej. W orzecznictwie uznaje się, że nawet 20% wynagrodzenia umownego może być uznana za karą rażąco wygórowaną (por. wyrok Sądu Najwyższego z 27.04.2022 r., II CSKP 59/22, wyrok Sądu Apelacyjnego w Poznaniu z 29.06.2022 r., I </w:t>
      </w:r>
      <w:proofErr w:type="spellStart"/>
      <w:r w:rsidRPr="00236BB7">
        <w:rPr>
          <w:rFonts w:ascii="Garamond" w:eastAsia="Times New Roman" w:hAnsi="Garamond" w:cs="Times New Roman"/>
          <w:color w:val="000000" w:themeColor="text1"/>
          <w:lang w:eastAsia="pl-PL"/>
        </w:rPr>
        <w:t>AGa</w:t>
      </w:r>
      <w:proofErr w:type="spellEnd"/>
      <w:r w:rsidRPr="00236BB7">
        <w:rPr>
          <w:rFonts w:ascii="Garamond" w:eastAsia="Times New Roman" w:hAnsi="Garamond" w:cs="Times New Roman"/>
          <w:color w:val="000000" w:themeColor="text1"/>
          <w:lang w:eastAsia="pl-PL"/>
        </w:rPr>
        <w:t xml:space="preserve"> 205/21). Co prawda 436 pkt 3 PZP nie określa </w:t>
      </w:r>
      <w:bookmarkStart w:id="0" w:name="_GoBack"/>
      <w:bookmarkEnd w:id="0"/>
      <w:r w:rsidRPr="00236BB7">
        <w:rPr>
          <w:rFonts w:ascii="Garamond" w:eastAsia="Times New Roman" w:hAnsi="Garamond" w:cs="Times New Roman"/>
          <w:color w:val="000000" w:themeColor="text1"/>
          <w:lang w:eastAsia="pl-PL"/>
        </w:rPr>
        <w:lastRenderedPageBreak/>
        <w:t>maksymalnego poziomu kar wiążącego wszystkich zamawiających, jednak w jednej z wersji projektu ustawy proponowano, aby łączna wysokość kar umownych nie mogła przekroczyć właśnie 20% wartości netto umowy (E. Wiktorowska [w:] A. Gawrońska-Baran, A. Wiktorowski, P. Wójcik, E. Wiktorowska, Prawo zamówień publicznych. Komentarz aktualizowany, LEX/el. 2024, art. 436). Powyższe uzasadnia obniżenie maksymalnej wysokości kar umownych co najmniej do 20% wynagrodzenia netto Wykonawcy.</w:t>
      </w:r>
    </w:p>
    <w:p w:rsidR="00236BB7" w:rsidRDefault="00236BB7" w:rsidP="00236BB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90F67" w:rsidRDefault="00E90F67" w:rsidP="00E90F67">
      <w:pPr>
        <w:spacing w:after="0" w:line="240" w:lineRule="auto"/>
        <w:jc w:val="both"/>
        <w:rPr>
          <w:rFonts w:ascii="Garamond" w:eastAsia="Times New Roman" w:hAnsi="Garamond" w:cs="Times New Roman"/>
          <w:lang w:eastAsia="pl-PL"/>
        </w:rPr>
      </w:pPr>
      <w:r w:rsidRPr="00E90F67">
        <w:rPr>
          <w:rFonts w:ascii="Garamond" w:eastAsia="Times New Roman" w:hAnsi="Garamond" w:cs="Times New Roman"/>
          <w:lang w:eastAsia="pl-PL"/>
        </w:rPr>
        <w:t>Zamawiający nie wyraża zgody na zaproponowaną modyfikację wzoru umowy. Wzór umowy pozostaje bez zmian</w:t>
      </w:r>
      <w:r>
        <w:rPr>
          <w:rFonts w:ascii="Garamond" w:eastAsia="Times New Roman" w:hAnsi="Garamond" w:cs="Times New Roman"/>
          <w:lang w:eastAsia="pl-PL"/>
        </w:rPr>
        <w:t>.</w:t>
      </w: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Default="00236BB7" w:rsidP="00236BB7">
      <w:pPr>
        <w:spacing w:after="0" w:line="240" w:lineRule="auto"/>
        <w:jc w:val="both"/>
        <w:rPr>
          <w:rFonts w:ascii="Garamond" w:eastAsia="Times New Roman" w:hAnsi="Garamond" w:cs="Times New Roman"/>
          <w:color w:val="000000" w:themeColor="text1"/>
          <w:lang w:eastAsia="pl-PL"/>
        </w:rPr>
      </w:pPr>
    </w:p>
    <w:p w:rsidR="00236BB7" w:rsidRPr="00E85E7C" w:rsidRDefault="00236BB7" w:rsidP="00236BB7">
      <w:pPr>
        <w:spacing w:after="0" w:line="240" w:lineRule="auto"/>
        <w:jc w:val="both"/>
        <w:rPr>
          <w:rFonts w:ascii="Garamond" w:eastAsia="Times New Roman" w:hAnsi="Garamond" w:cs="Times New Roman"/>
          <w:color w:val="000000" w:themeColor="text1"/>
          <w:lang w:eastAsia="pl-PL"/>
        </w:rPr>
      </w:pPr>
    </w:p>
    <w:sectPr w:rsidR="00236BB7" w:rsidRPr="00E85E7C"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AC" w:rsidRDefault="003073AC" w:rsidP="00E22E7B">
      <w:pPr>
        <w:spacing w:after="0" w:line="240" w:lineRule="auto"/>
      </w:pPr>
      <w:r>
        <w:separator/>
      </w:r>
    </w:p>
  </w:endnote>
  <w:endnote w:type="continuationSeparator" w:id="0">
    <w:p w:rsidR="003073AC" w:rsidRDefault="003073AC"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AC" w:rsidRDefault="003073AC" w:rsidP="00E22E7B">
      <w:pPr>
        <w:spacing w:after="0" w:line="240" w:lineRule="auto"/>
      </w:pPr>
      <w:r>
        <w:separator/>
      </w:r>
    </w:p>
  </w:footnote>
  <w:footnote w:type="continuationSeparator" w:id="0">
    <w:p w:rsidR="003073AC" w:rsidRDefault="003073AC"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D842D3"/>
    <w:multiLevelType w:val="hybridMultilevel"/>
    <w:tmpl w:val="4D1A3C9C"/>
    <w:lvl w:ilvl="0" w:tplc="B6AA3340">
      <w:start w:val="1"/>
      <w:numFmt w:val="decimal"/>
      <w:lvlText w:val="%1."/>
      <w:lvlJc w:val="left"/>
      <w:pPr>
        <w:tabs>
          <w:tab w:val="num" w:pos="360"/>
        </w:tabs>
        <w:ind w:left="360" w:hanging="360"/>
      </w:pPr>
      <w:rPr>
        <w:i w:val="0"/>
      </w:rPr>
    </w:lvl>
    <w:lvl w:ilvl="1" w:tplc="0415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B55D0"/>
    <w:multiLevelType w:val="hybridMultilevel"/>
    <w:tmpl w:val="7A2C4EAA"/>
    <w:lvl w:ilvl="0" w:tplc="5B0439B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AE68B1"/>
    <w:multiLevelType w:val="hybridMultilevel"/>
    <w:tmpl w:val="40BCC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813F58"/>
    <w:multiLevelType w:val="hybridMultilevel"/>
    <w:tmpl w:val="AA7017A6"/>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9" w15:restartNumberingAfterBreak="0">
    <w:nsid w:val="40570590"/>
    <w:multiLevelType w:val="hybridMultilevel"/>
    <w:tmpl w:val="891222A4"/>
    <w:lvl w:ilvl="0" w:tplc="0AA22ACE">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11"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105D9F"/>
    <w:multiLevelType w:val="hybridMultilevel"/>
    <w:tmpl w:val="B5AAA9AE"/>
    <w:lvl w:ilvl="0" w:tplc="216224B4">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2861"/>
    <w:multiLevelType w:val="hybridMultilevel"/>
    <w:tmpl w:val="FD7417D8"/>
    <w:lvl w:ilvl="0" w:tplc="997EF948">
      <w:start w:val="1"/>
      <w:numFmt w:val="decimal"/>
      <w:lvlText w:val="%1."/>
      <w:lvlJc w:val="left"/>
      <w:pPr>
        <w:ind w:left="502"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10"/>
  </w:num>
  <w:num w:numId="5">
    <w:abstractNumId w:val="6"/>
  </w:num>
  <w:num w:numId="6">
    <w:abstractNumId w:val="0"/>
  </w:num>
  <w:num w:numId="7">
    <w:abstractNumId w:val="2"/>
  </w:num>
  <w:num w:numId="8">
    <w:abstractNumId w:val="11"/>
  </w:num>
  <w:num w:numId="9">
    <w:abstractNumId w:val="5"/>
  </w:num>
  <w:num w:numId="10">
    <w:abstractNumId w:val="12"/>
  </w:num>
  <w:num w:numId="11">
    <w:abstractNumId w:val="9"/>
  </w:num>
  <w:num w:numId="12">
    <w:abstractNumId w:val="3"/>
  </w:num>
  <w:num w:numId="13">
    <w:abstractNumId w:val="7"/>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27052"/>
    <w:rsid w:val="0003360C"/>
    <w:rsid w:val="00033BDD"/>
    <w:rsid w:val="000456B6"/>
    <w:rsid w:val="00046AAB"/>
    <w:rsid w:val="0005276B"/>
    <w:rsid w:val="000540E4"/>
    <w:rsid w:val="00054D6A"/>
    <w:rsid w:val="00056A8A"/>
    <w:rsid w:val="00071EB1"/>
    <w:rsid w:val="00073F20"/>
    <w:rsid w:val="00074020"/>
    <w:rsid w:val="00085E8B"/>
    <w:rsid w:val="000932C3"/>
    <w:rsid w:val="000A2A8A"/>
    <w:rsid w:val="000A351A"/>
    <w:rsid w:val="000A3CFF"/>
    <w:rsid w:val="000A50E1"/>
    <w:rsid w:val="000B2E90"/>
    <w:rsid w:val="000B5FCC"/>
    <w:rsid w:val="000C62B4"/>
    <w:rsid w:val="000D1E9C"/>
    <w:rsid w:val="000D31F6"/>
    <w:rsid w:val="000D4091"/>
    <w:rsid w:val="000D6806"/>
    <w:rsid w:val="000D6E99"/>
    <w:rsid w:val="000E02FC"/>
    <w:rsid w:val="000E361D"/>
    <w:rsid w:val="000E40C0"/>
    <w:rsid w:val="000E40F6"/>
    <w:rsid w:val="000E50E1"/>
    <w:rsid w:val="00100EE6"/>
    <w:rsid w:val="00110B59"/>
    <w:rsid w:val="001113A5"/>
    <w:rsid w:val="00116188"/>
    <w:rsid w:val="00117D69"/>
    <w:rsid w:val="00130AC1"/>
    <w:rsid w:val="00131A66"/>
    <w:rsid w:val="001349BE"/>
    <w:rsid w:val="001369B1"/>
    <w:rsid w:val="00142013"/>
    <w:rsid w:val="00150773"/>
    <w:rsid w:val="001514F3"/>
    <w:rsid w:val="00153564"/>
    <w:rsid w:val="00156BB5"/>
    <w:rsid w:val="00160302"/>
    <w:rsid w:val="00165DD2"/>
    <w:rsid w:val="00174C12"/>
    <w:rsid w:val="0017599F"/>
    <w:rsid w:val="001764D4"/>
    <w:rsid w:val="001850BF"/>
    <w:rsid w:val="0018565E"/>
    <w:rsid w:val="0018594C"/>
    <w:rsid w:val="00186736"/>
    <w:rsid w:val="0018696A"/>
    <w:rsid w:val="00191AF7"/>
    <w:rsid w:val="00197F7E"/>
    <w:rsid w:val="001A1990"/>
    <w:rsid w:val="001A1E07"/>
    <w:rsid w:val="001A2069"/>
    <w:rsid w:val="001A528B"/>
    <w:rsid w:val="001B06E2"/>
    <w:rsid w:val="001B6FDF"/>
    <w:rsid w:val="001B7FB1"/>
    <w:rsid w:val="001D6783"/>
    <w:rsid w:val="001D7B47"/>
    <w:rsid w:val="001E137C"/>
    <w:rsid w:val="001E1866"/>
    <w:rsid w:val="001E23AA"/>
    <w:rsid w:val="001F198D"/>
    <w:rsid w:val="001F1FA9"/>
    <w:rsid w:val="001F4E23"/>
    <w:rsid w:val="00207B5D"/>
    <w:rsid w:val="0021282A"/>
    <w:rsid w:val="00212CC4"/>
    <w:rsid w:val="002138E2"/>
    <w:rsid w:val="00217392"/>
    <w:rsid w:val="002200F6"/>
    <w:rsid w:val="00220CD4"/>
    <w:rsid w:val="0022226C"/>
    <w:rsid w:val="002230FB"/>
    <w:rsid w:val="00233F01"/>
    <w:rsid w:val="00236BB7"/>
    <w:rsid w:val="002402DF"/>
    <w:rsid w:val="00242A3E"/>
    <w:rsid w:val="00243073"/>
    <w:rsid w:val="002432BF"/>
    <w:rsid w:val="00245C65"/>
    <w:rsid w:val="0025091B"/>
    <w:rsid w:val="00255CC6"/>
    <w:rsid w:val="00262E5D"/>
    <w:rsid w:val="00264323"/>
    <w:rsid w:val="002651CD"/>
    <w:rsid w:val="002672D4"/>
    <w:rsid w:val="002711BC"/>
    <w:rsid w:val="00275A87"/>
    <w:rsid w:val="002826DA"/>
    <w:rsid w:val="00284B31"/>
    <w:rsid w:val="00284FD2"/>
    <w:rsid w:val="002866D1"/>
    <w:rsid w:val="002902AF"/>
    <w:rsid w:val="002912EB"/>
    <w:rsid w:val="002944E5"/>
    <w:rsid w:val="0029586F"/>
    <w:rsid w:val="002A3523"/>
    <w:rsid w:val="002A364D"/>
    <w:rsid w:val="002B0B31"/>
    <w:rsid w:val="002B24C3"/>
    <w:rsid w:val="002B460B"/>
    <w:rsid w:val="002B46A8"/>
    <w:rsid w:val="002B639A"/>
    <w:rsid w:val="002C1DF4"/>
    <w:rsid w:val="002C3686"/>
    <w:rsid w:val="002C6433"/>
    <w:rsid w:val="002D11F2"/>
    <w:rsid w:val="002D1203"/>
    <w:rsid w:val="002D1BC7"/>
    <w:rsid w:val="002D223F"/>
    <w:rsid w:val="002D3DD3"/>
    <w:rsid w:val="002E1600"/>
    <w:rsid w:val="002E5F39"/>
    <w:rsid w:val="002F30C3"/>
    <w:rsid w:val="002F4FD2"/>
    <w:rsid w:val="002F6AE6"/>
    <w:rsid w:val="002F78B0"/>
    <w:rsid w:val="00301172"/>
    <w:rsid w:val="003041DB"/>
    <w:rsid w:val="00304B60"/>
    <w:rsid w:val="00305021"/>
    <w:rsid w:val="003073AC"/>
    <w:rsid w:val="00313075"/>
    <w:rsid w:val="003219C0"/>
    <w:rsid w:val="00321CB4"/>
    <w:rsid w:val="00323FBC"/>
    <w:rsid w:val="00335AB9"/>
    <w:rsid w:val="003372B5"/>
    <w:rsid w:val="00341319"/>
    <w:rsid w:val="00343F02"/>
    <w:rsid w:val="003471AC"/>
    <w:rsid w:val="0034780C"/>
    <w:rsid w:val="00350BB0"/>
    <w:rsid w:val="00352231"/>
    <w:rsid w:val="003536B2"/>
    <w:rsid w:val="00355107"/>
    <w:rsid w:val="0035683A"/>
    <w:rsid w:val="003640FA"/>
    <w:rsid w:val="003647C5"/>
    <w:rsid w:val="003652DC"/>
    <w:rsid w:val="003656FF"/>
    <w:rsid w:val="003714B9"/>
    <w:rsid w:val="00374C14"/>
    <w:rsid w:val="00375D3E"/>
    <w:rsid w:val="00382122"/>
    <w:rsid w:val="003828C4"/>
    <w:rsid w:val="003835ED"/>
    <w:rsid w:val="0038732C"/>
    <w:rsid w:val="00390BBE"/>
    <w:rsid w:val="003944AD"/>
    <w:rsid w:val="00395678"/>
    <w:rsid w:val="003A1658"/>
    <w:rsid w:val="003A311E"/>
    <w:rsid w:val="003A677C"/>
    <w:rsid w:val="003B2825"/>
    <w:rsid w:val="003B4213"/>
    <w:rsid w:val="003B6BF5"/>
    <w:rsid w:val="003C031B"/>
    <w:rsid w:val="003C6A04"/>
    <w:rsid w:val="003D0F8F"/>
    <w:rsid w:val="003D3B45"/>
    <w:rsid w:val="003D4F72"/>
    <w:rsid w:val="003E182E"/>
    <w:rsid w:val="003E1BAC"/>
    <w:rsid w:val="003E397A"/>
    <w:rsid w:val="003F12DC"/>
    <w:rsid w:val="003F12E8"/>
    <w:rsid w:val="003F447D"/>
    <w:rsid w:val="00400375"/>
    <w:rsid w:val="004037D7"/>
    <w:rsid w:val="004058E8"/>
    <w:rsid w:val="004070CC"/>
    <w:rsid w:val="00414986"/>
    <w:rsid w:val="004239FA"/>
    <w:rsid w:val="00423A3B"/>
    <w:rsid w:val="004341D7"/>
    <w:rsid w:val="004368FF"/>
    <w:rsid w:val="004415EF"/>
    <w:rsid w:val="0044378E"/>
    <w:rsid w:val="00443B98"/>
    <w:rsid w:val="00444438"/>
    <w:rsid w:val="00450FE0"/>
    <w:rsid w:val="00451107"/>
    <w:rsid w:val="00454A93"/>
    <w:rsid w:val="00456514"/>
    <w:rsid w:val="00456DF0"/>
    <w:rsid w:val="00457618"/>
    <w:rsid w:val="00461ABF"/>
    <w:rsid w:val="004717F1"/>
    <w:rsid w:val="00473431"/>
    <w:rsid w:val="00473CFE"/>
    <w:rsid w:val="00473F95"/>
    <w:rsid w:val="00481A6E"/>
    <w:rsid w:val="004824AB"/>
    <w:rsid w:val="0048465A"/>
    <w:rsid w:val="0048621A"/>
    <w:rsid w:val="0048696B"/>
    <w:rsid w:val="004876AA"/>
    <w:rsid w:val="00491F76"/>
    <w:rsid w:val="00494258"/>
    <w:rsid w:val="004A6908"/>
    <w:rsid w:val="004B6E89"/>
    <w:rsid w:val="004C025C"/>
    <w:rsid w:val="004C0ABE"/>
    <w:rsid w:val="004C0C91"/>
    <w:rsid w:val="004C19BB"/>
    <w:rsid w:val="004C317C"/>
    <w:rsid w:val="004C3EB3"/>
    <w:rsid w:val="004C4CBF"/>
    <w:rsid w:val="004C5879"/>
    <w:rsid w:val="004D094A"/>
    <w:rsid w:val="004D1171"/>
    <w:rsid w:val="004D57B8"/>
    <w:rsid w:val="004D69A5"/>
    <w:rsid w:val="004D7045"/>
    <w:rsid w:val="004E1A5F"/>
    <w:rsid w:val="004E6FEE"/>
    <w:rsid w:val="004F5198"/>
    <w:rsid w:val="005035AD"/>
    <w:rsid w:val="00503BCF"/>
    <w:rsid w:val="00504B1A"/>
    <w:rsid w:val="005106DB"/>
    <w:rsid w:val="00510F1A"/>
    <w:rsid w:val="00512263"/>
    <w:rsid w:val="00513CEF"/>
    <w:rsid w:val="00515AD5"/>
    <w:rsid w:val="00516300"/>
    <w:rsid w:val="00522CBA"/>
    <w:rsid w:val="00525B05"/>
    <w:rsid w:val="00525FBB"/>
    <w:rsid w:val="00526555"/>
    <w:rsid w:val="005266FE"/>
    <w:rsid w:val="00530392"/>
    <w:rsid w:val="00531FE2"/>
    <w:rsid w:val="00536C05"/>
    <w:rsid w:val="0054674B"/>
    <w:rsid w:val="00546E51"/>
    <w:rsid w:val="00546F8B"/>
    <w:rsid w:val="005510CB"/>
    <w:rsid w:val="00552857"/>
    <w:rsid w:val="00556EC9"/>
    <w:rsid w:val="00557F7F"/>
    <w:rsid w:val="005611A3"/>
    <w:rsid w:val="00563796"/>
    <w:rsid w:val="005648AF"/>
    <w:rsid w:val="00566763"/>
    <w:rsid w:val="005716B9"/>
    <w:rsid w:val="00572498"/>
    <w:rsid w:val="00573CB4"/>
    <w:rsid w:val="005761C7"/>
    <w:rsid w:val="0058020C"/>
    <w:rsid w:val="00584A81"/>
    <w:rsid w:val="0058582F"/>
    <w:rsid w:val="00587449"/>
    <w:rsid w:val="00590A18"/>
    <w:rsid w:val="00595C42"/>
    <w:rsid w:val="00596E26"/>
    <w:rsid w:val="00597B13"/>
    <w:rsid w:val="00597B73"/>
    <w:rsid w:val="005A22C1"/>
    <w:rsid w:val="005B0499"/>
    <w:rsid w:val="005B4381"/>
    <w:rsid w:val="005B6105"/>
    <w:rsid w:val="005C4A87"/>
    <w:rsid w:val="005C5421"/>
    <w:rsid w:val="005D0DB5"/>
    <w:rsid w:val="005D1AFC"/>
    <w:rsid w:val="005D5ACA"/>
    <w:rsid w:val="005D775F"/>
    <w:rsid w:val="005E2C15"/>
    <w:rsid w:val="005E349A"/>
    <w:rsid w:val="005E4827"/>
    <w:rsid w:val="005E4F0D"/>
    <w:rsid w:val="005E6536"/>
    <w:rsid w:val="005E7C00"/>
    <w:rsid w:val="005F147E"/>
    <w:rsid w:val="005F78B8"/>
    <w:rsid w:val="00600795"/>
    <w:rsid w:val="006068BE"/>
    <w:rsid w:val="00612332"/>
    <w:rsid w:val="00613330"/>
    <w:rsid w:val="00614CB1"/>
    <w:rsid w:val="0061675E"/>
    <w:rsid w:val="006211E8"/>
    <w:rsid w:val="00623C4B"/>
    <w:rsid w:val="006262EB"/>
    <w:rsid w:val="00626B32"/>
    <w:rsid w:val="00627C46"/>
    <w:rsid w:val="00632D6F"/>
    <w:rsid w:val="00633FA7"/>
    <w:rsid w:val="006361F8"/>
    <w:rsid w:val="006432C0"/>
    <w:rsid w:val="00645051"/>
    <w:rsid w:val="0064588A"/>
    <w:rsid w:val="00651625"/>
    <w:rsid w:val="00651F7A"/>
    <w:rsid w:val="00656BE4"/>
    <w:rsid w:val="0065700D"/>
    <w:rsid w:val="00657975"/>
    <w:rsid w:val="00657A74"/>
    <w:rsid w:val="006635BA"/>
    <w:rsid w:val="00665CC5"/>
    <w:rsid w:val="00675954"/>
    <w:rsid w:val="0068299B"/>
    <w:rsid w:val="006844CD"/>
    <w:rsid w:val="00684CDE"/>
    <w:rsid w:val="00684F8E"/>
    <w:rsid w:val="00692557"/>
    <w:rsid w:val="006A356A"/>
    <w:rsid w:val="006B43FA"/>
    <w:rsid w:val="006B466F"/>
    <w:rsid w:val="006B486C"/>
    <w:rsid w:val="006B4A0B"/>
    <w:rsid w:val="006B644B"/>
    <w:rsid w:val="006B6ABA"/>
    <w:rsid w:val="006C1D52"/>
    <w:rsid w:val="006D3B38"/>
    <w:rsid w:val="006D731F"/>
    <w:rsid w:val="006E3FF6"/>
    <w:rsid w:val="006E59CC"/>
    <w:rsid w:val="00703E98"/>
    <w:rsid w:val="007073F2"/>
    <w:rsid w:val="00707EAA"/>
    <w:rsid w:val="00711254"/>
    <w:rsid w:val="00712E90"/>
    <w:rsid w:val="00714D55"/>
    <w:rsid w:val="00715CE1"/>
    <w:rsid w:val="00717E9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67C7E"/>
    <w:rsid w:val="00767D2F"/>
    <w:rsid w:val="007710AA"/>
    <w:rsid w:val="00771EB2"/>
    <w:rsid w:val="0077330A"/>
    <w:rsid w:val="0077395A"/>
    <w:rsid w:val="007764CD"/>
    <w:rsid w:val="00777877"/>
    <w:rsid w:val="00780BC3"/>
    <w:rsid w:val="0078189C"/>
    <w:rsid w:val="00783511"/>
    <w:rsid w:val="00783596"/>
    <w:rsid w:val="00783B2E"/>
    <w:rsid w:val="00785DE7"/>
    <w:rsid w:val="00790BA1"/>
    <w:rsid w:val="00795DC4"/>
    <w:rsid w:val="007A1223"/>
    <w:rsid w:val="007A1762"/>
    <w:rsid w:val="007A2988"/>
    <w:rsid w:val="007A3D36"/>
    <w:rsid w:val="007A4E8F"/>
    <w:rsid w:val="007A5321"/>
    <w:rsid w:val="007A7552"/>
    <w:rsid w:val="007A762C"/>
    <w:rsid w:val="007B18BE"/>
    <w:rsid w:val="007B1D2A"/>
    <w:rsid w:val="007B1EBD"/>
    <w:rsid w:val="007B3897"/>
    <w:rsid w:val="007C1E87"/>
    <w:rsid w:val="007C3884"/>
    <w:rsid w:val="007D0211"/>
    <w:rsid w:val="007D2EC9"/>
    <w:rsid w:val="007E2D75"/>
    <w:rsid w:val="007E7E23"/>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675F9"/>
    <w:rsid w:val="008731A4"/>
    <w:rsid w:val="008731AE"/>
    <w:rsid w:val="008747F4"/>
    <w:rsid w:val="00883C13"/>
    <w:rsid w:val="00884C08"/>
    <w:rsid w:val="0089260D"/>
    <w:rsid w:val="00895013"/>
    <w:rsid w:val="0089540C"/>
    <w:rsid w:val="00896709"/>
    <w:rsid w:val="008A0AA4"/>
    <w:rsid w:val="008A350C"/>
    <w:rsid w:val="008A539D"/>
    <w:rsid w:val="008B3F2B"/>
    <w:rsid w:val="008B7F24"/>
    <w:rsid w:val="008C207B"/>
    <w:rsid w:val="008C3038"/>
    <w:rsid w:val="008C3915"/>
    <w:rsid w:val="008C4AEE"/>
    <w:rsid w:val="008C7C5F"/>
    <w:rsid w:val="008D09C9"/>
    <w:rsid w:val="008D3C0B"/>
    <w:rsid w:val="008E2ED1"/>
    <w:rsid w:val="008E46B4"/>
    <w:rsid w:val="008F7525"/>
    <w:rsid w:val="008F795C"/>
    <w:rsid w:val="00905926"/>
    <w:rsid w:val="0091041A"/>
    <w:rsid w:val="00915E64"/>
    <w:rsid w:val="00920E94"/>
    <w:rsid w:val="009219C1"/>
    <w:rsid w:val="00921A3E"/>
    <w:rsid w:val="0092377F"/>
    <w:rsid w:val="00923A26"/>
    <w:rsid w:val="00930EF5"/>
    <w:rsid w:val="009322D6"/>
    <w:rsid w:val="0093276E"/>
    <w:rsid w:val="00932938"/>
    <w:rsid w:val="009339AE"/>
    <w:rsid w:val="00937DC6"/>
    <w:rsid w:val="00942C2D"/>
    <w:rsid w:val="00951156"/>
    <w:rsid w:val="009526FD"/>
    <w:rsid w:val="0095457F"/>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C234D"/>
    <w:rsid w:val="009C44B8"/>
    <w:rsid w:val="009C5413"/>
    <w:rsid w:val="009C7608"/>
    <w:rsid w:val="009D18BE"/>
    <w:rsid w:val="009D2A2E"/>
    <w:rsid w:val="009D599B"/>
    <w:rsid w:val="009D6975"/>
    <w:rsid w:val="009D69BB"/>
    <w:rsid w:val="009E0BF7"/>
    <w:rsid w:val="009E4593"/>
    <w:rsid w:val="009E63CC"/>
    <w:rsid w:val="009E6EE7"/>
    <w:rsid w:val="009F028C"/>
    <w:rsid w:val="009F0659"/>
    <w:rsid w:val="009F4300"/>
    <w:rsid w:val="009F6B93"/>
    <w:rsid w:val="009F7923"/>
    <w:rsid w:val="00A02806"/>
    <w:rsid w:val="00A028A5"/>
    <w:rsid w:val="00A0375A"/>
    <w:rsid w:val="00A04ED3"/>
    <w:rsid w:val="00A056EB"/>
    <w:rsid w:val="00A0635D"/>
    <w:rsid w:val="00A067A0"/>
    <w:rsid w:val="00A1266C"/>
    <w:rsid w:val="00A1622C"/>
    <w:rsid w:val="00A230FC"/>
    <w:rsid w:val="00A24DD4"/>
    <w:rsid w:val="00A26A30"/>
    <w:rsid w:val="00A26F69"/>
    <w:rsid w:val="00A3125C"/>
    <w:rsid w:val="00A3548C"/>
    <w:rsid w:val="00A35DDF"/>
    <w:rsid w:val="00A4270B"/>
    <w:rsid w:val="00A43CEB"/>
    <w:rsid w:val="00A44A80"/>
    <w:rsid w:val="00A51F28"/>
    <w:rsid w:val="00A56F65"/>
    <w:rsid w:val="00A64618"/>
    <w:rsid w:val="00A64642"/>
    <w:rsid w:val="00A6766E"/>
    <w:rsid w:val="00A70379"/>
    <w:rsid w:val="00A71580"/>
    <w:rsid w:val="00A76D40"/>
    <w:rsid w:val="00A838C2"/>
    <w:rsid w:val="00A9039C"/>
    <w:rsid w:val="00A94382"/>
    <w:rsid w:val="00A96DB5"/>
    <w:rsid w:val="00AA2535"/>
    <w:rsid w:val="00AA3D0C"/>
    <w:rsid w:val="00AA6CEE"/>
    <w:rsid w:val="00AA7B8F"/>
    <w:rsid w:val="00AB0F5C"/>
    <w:rsid w:val="00AB19CB"/>
    <w:rsid w:val="00AB3637"/>
    <w:rsid w:val="00AC00BD"/>
    <w:rsid w:val="00AC224B"/>
    <w:rsid w:val="00AC30CE"/>
    <w:rsid w:val="00AC33A7"/>
    <w:rsid w:val="00AD1EDE"/>
    <w:rsid w:val="00AD23F4"/>
    <w:rsid w:val="00AD3E4E"/>
    <w:rsid w:val="00AD6778"/>
    <w:rsid w:val="00AD73CA"/>
    <w:rsid w:val="00AE4DB8"/>
    <w:rsid w:val="00AF1F80"/>
    <w:rsid w:val="00AF2305"/>
    <w:rsid w:val="00AF3006"/>
    <w:rsid w:val="00AF4E7C"/>
    <w:rsid w:val="00B104B5"/>
    <w:rsid w:val="00B11829"/>
    <w:rsid w:val="00B122E5"/>
    <w:rsid w:val="00B12300"/>
    <w:rsid w:val="00B14324"/>
    <w:rsid w:val="00B2061E"/>
    <w:rsid w:val="00B22694"/>
    <w:rsid w:val="00B366A3"/>
    <w:rsid w:val="00B37E0E"/>
    <w:rsid w:val="00B40A5A"/>
    <w:rsid w:val="00B42123"/>
    <w:rsid w:val="00B430C6"/>
    <w:rsid w:val="00B44ED4"/>
    <w:rsid w:val="00B5084D"/>
    <w:rsid w:val="00B50D86"/>
    <w:rsid w:val="00B533CB"/>
    <w:rsid w:val="00B567B1"/>
    <w:rsid w:val="00B63144"/>
    <w:rsid w:val="00B66E1F"/>
    <w:rsid w:val="00B7461A"/>
    <w:rsid w:val="00B760A1"/>
    <w:rsid w:val="00B91716"/>
    <w:rsid w:val="00B92F22"/>
    <w:rsid w:val="00B9346B"/>
    <w:rsid w:val="00BB2E21"/>
    <w:rsid w:val="00BB477E"/>
    <w:rsid w:val="00BB5ADE"/>
    <w:rsid w:val="00BB5E28"/>
    <w:rsid w:val="00BB7951"/>
    <w:rsid w:val="00BC1C0A"/>
    <w:rsid w:val="00BC2123"/>
    <w:rsid w:val="00BC422C"/>
    <w:rsid w:val="00BC5D15"/>
    <w:rsid w:val="00BD2B2C"/>
    <w:rsid w:val="00BD3358"/>
    <w:rsid w:val="00BE0B8A"/>
    <w:rsid w:val="00BE386F"/>
    <w:rsid w:val="00BE49BF"/>
    <w:rsid w:val="00BE62EC"/>
    <w:rsid w:val="00BE7FC0"/>
    <w:rsid w:val="00BF5A98"/>
    <w:rsid w:val="00C00657"/>
    <w:rsid w:val="00C00E6C"/>
    <w:rsid w:val="00C02C5B"/>
    <w:rsid w:val="00C03926"/>
    <w:rsid w:val="00C07656"/>
    <w:rsid w:val="00C07A08"/>
    <w:rsid w:val="00C10908"/>
    <w:rsid w:val="00C12308"/>
    <w:rsid w:val="00C1274A"/>
    <w:rsid w:val="00C17580"/>
    <w:rsid w:val="00C17669"/>
    <w:rsid w:val="00C17790"/>
    <w:rsid w:val="00C23CB7"/>
    <w:rsid w:val="00C25242"/>
    <w:rsid w:val="00C30C9D"/>
    <w:rsid w:val="00C329CB"/>
    <w:rsid w:val="00C35294"/>
    <w:rsid w:val="00C4068D"/>
    <w:rsid w:val="00C5234E"/>
    <w:rsid w:val="00C54532"/>
    <w:rsid w:val="00C611D5"/>
    <w:rsid w:val="00C61809"/>
    <w:rsid w:val="00C61919"/>
    <w:rsid w:val="00C65F50"/>
    <w:rsid w:val="00C66224"/>
    <w:rsid w:val="00C66D6D"/>
    <w:rsid w:val="00C67CA9"/>
    <w:rsid w:val="00C71901"/>
    <w:rsid w:val="00C75BCA"/>
    <w:rsid w:val="00C91AF5"/>
    <w:rsid w:val="00C942AD"/>
    <w:rsid w:val="00CA01D3"/>
    <w:rsid w:val="00CA3C40"/>
    <w:rsid w:val="00CA4952"/>
    <w:rsid w:val="00CA69B4"/>
    <w:rsid w:val="00CB0F59"/>
    <w:rsid w:val="00CB10D6"/>
    <w:rsid w:val="00CB3149"/>
    <w:rsid w:val="00CB4A9E"/>
    <w:rsid w:val="00CB5CEC"/>
    <w:rsid w:val="00CC1108"/>
    <w:rsid w:val="00CC2372"/>
    <w:rsid w:val="00CC4175"/>
    <w:rsid w:val="00CC51A8"/>
    <w:rsid w:val="00CD5492"/>
    <w:rsid w:val="00CD5B12"/>
    <w:rsid w:val="00CD747F"/>
    <w:rsid w:val="00CE0CE2"/>
    <w:rsid w:val="00CE2E08"/>
    <w:rsid w:val="00CE71B6"/>
    <w:rsid w:val="00CF03BC"/>
    <w:rsid w:val="00CF13B9"/>
    <w:rsid w:val="00CF4284"/>
    <w:rsid w:val="00CF7044"/>
    <w:rsid w:val="00D03318"/>
    <w:rsid w:val="00D1379C"/>
    <w:rsid w:val="00D1579C"/>
    <w:rsid w:val="00D212C3"/>
    <w:rsid w:val="00D21996"/>
    <w:rsid w:val="00D22A1C"/>
    <w:rsid w:val="00D25478"/>
    <w:rsid w:val="00D3796C"/>
    <w:rsid w:val="00D37A9A"/>
    <w:rsid w:val="00D40897"/>
    <w:rsid w:val="00D41B75"/>
    <w:rsid w:val="00D41E7A"/>
    <w:rsid w:val="00D43965"/>
    <w:rsid w:val="00D44DD9"/>
    <w:rsid w:val="00D45089"/>
    <w:rsid w:val="00D511D6"/>
    <w:rsid w:val="00D51379"/>
    <w:rsid w:val="00D55BB9"/>
    <w:rsid w:val="00D57898"/>
    <w:rsid w:val="00D623CE"/>
    <w:rsid w:val="00D62426"/>
    <w:rsid w:val="00D6402B"/>
    <w:rsid w:val="00D64532"/>
    <w:rsid w:val="00D67DF5"/>
    <w:rsid w:val="00D708FB"/>
    <w:rsid w:val="00D72FA0"/>
    <w:rsid w:val="00D73047"/>
    <w:rsid w:val="00D74374"/>
    <w:rsid w:val="00D74CF8"/>
    <w:rsid w:val="00D756DB"/>
    <w:rsid w:val="00D76E1F"/>
    <w:rsid w:val="00D76F99"/>
    <w:rsid w:val="00D77324"/>
    <w:rsid w:val="00D82619"/>
    <w:rsid w:val="00D83D22"/>
    <w:rsid w:val="00D8454F"/>
    <w:rsid w:val="00D856BD"/>
    <w:rsid w:val="00D875A6"/>
    <w:rsid w:val="00D876BE"/>
    <w:rsid w:val="00D87B78"/>
    <w:rsid w:val="00D915D0"/>
    <w:rsid w:val="00D92644"/>
    <w:rsid w:val="00D94DBA"/>
    <w:rsid w:val="00D9717D"/>
    <w:rsid w:val="00D977D1"/>
    <w:rsid w:val="00DA106D"/>
    <w:rsid w:val="00DA1D8D"/>
    <w:rsid w:val="00DA5168"/>
    <w:rsid w:val="00DA5F8F"/>
    <w:rsid w:val="00DB2A4C"/>
    <w:rsid w:val="00DB39F3"/>
    <w:rsid w:val="00DB5A02"/>
    <w:rsid w:val="00DC1985"/>
    <w:rsid w:val="00DC2E02"/>
    <w:rsid w:val="00DC3875"/>
    <w:rsid w:val="00DD258D"/>
    <w:rsid w:val="00DE3B29"/>
    <w:rsid w:val="00DE51FC"/>
    <w:rsid w:val="00DE5BDE"/>
    <w:rsid w:val="00DE75FD"/>
    <w:rsid w:val="00DF40CD"/>
    <w:rsid w:val="00DF5C74"/>
    <w:rsid w:val="00DF74BC"/>
    <w:rsid w:val="00DF784D"/>
    <w:rsid w:val="00E019D0"/>
    <w:rsid w:val="00E01D0A"/>
    <w:rsid w:val="00E03A86"/>
    <w:rsid w:val="00E0782F"/>
    <w:rsid w:val="00E10E4A"/>
    <w:rsid w:val="00E22E7B"/>
    <w:rsid w:val="00E34CA0"/>
    <w:rsid w:val="00E36320"/>
    <w:rsid w:val="00E37337"/>
    <w:rsid w:val="00E378CF"/>
    <w:rsid w:val="00E41E00"/>
    <w:rsid w:val="00E42DD1"/>
    <w:rsid w:val="00E445CD"/>
    <w:rsid w:val="00E477A3"/>
    <w:rsid w:val="00E52C1F"/>
    <w:rsid w:val="00E53B47"/>
    <w:rsid w:val="00E546BE"/>
    <w:rsid w:val="00E5624E"/>
    <w:rsid w:val="00E56F95"/>
    <w:rsid w:val="00E57B4B"/>
    <w:rsid w:val="00E60A84"/>
    <w:rsid w:val="00E61A76"/>
    <w:rsid w:val="00E631DB"/>
    <w:rsid w:val="00E651DF"/>
    <w:rsid w:val="00E70FE2"/>
    <w:rsid w:val="00E7161F"/>
    <w:rsid w:val="00E75A90"/>
    <w:rsid w:val="00E7607E"/>
    <w:rsid w:val="00E76D38"/>
    <w:rsid w:val="00E827F0"/>
    <w:rsid w:val="00E84716"/>
    <w:rsid w:val="00E85E7C"/>
    <w:rsid w:val="00E90F67"/>
    <w:rsid w:val="00E9135A"/>
    <w:rsid w:val="00E95D18"/>
    <w:rsid w:val="00EA2693"/>
    <w:rsid w:val="00EA3DFE"/>
    <w:rsid w:val="00EA4061"/>
    <w:rsid w:val="00EA40AB"/>
    <w:rsid w:val="00EA4D92"/>
    <w:rsid w:val="00EB45C2"/>
    <w:rsid w:val="00EB7BB0"/>
    <w:rsid w:val="00EC3E35"/>
    <w:rsid w:val="00EC4048"/>
    <w:rsid w:val="00EC5D0B"/>
    <w:rsid w:val="00ED1C5C"/>
    <w:rsid w:val="00ED3B1F"/>
    <w:rsid w:val="00ED3CD7"/>
    <w:rsid w:val="00ED4082"/>
    <w:rsid w:val="00ED40A4"/>
    <w:rsid w:val="00ED46EC"/>
    <w:rsid w:val="00ED5CC7"/>
    <w:rsid w:val="00ED77E7"/>
    <w:rsid w:val="00EE09E4"/>
    <w:rsid w:val="00EE1EDD"/>
    <w:rsid w:val="00EE2A85"/>
    <w:rsid w:val="00EE3943"/>
    <w:rsid w:val="00EE75E4"/>
    <w:rsid w:val="00EF2149"/>
    <w:rsid w:val="00EF2395"/>
    <w:rsid w:val="00EF43B5"/>
    <w:rsid w:val="00EF496A"/>
    <w:rsid w:val="00F015F7"/>
    <w:rsid w:val="00F02C8A"/>
    <w:rsid w:val="00F02F07"/>
    <w:rsid w:val="00F05CD4"/>
    <w:rsid w:val="00F06794"/>
    <w:rsid w:val="00F10E8F"/>
    <w:rsid w:val="00F26EC4"/>
    <w:rsid w:val="00F34666"/>
    <w:rsid w:val="00F35CA6"/>
    <w:rsid w:val="00F36E4E"/>
    <w:rsid w:val="00F43C22"/>
    <w:rsid w:val="00F47622"/>
    <w:rsid w:val="00F478CA"/>
    <w:rsid w:val="00F51F3E"/>
    <w:rsid w:val="00F5445A"/>
    <w:rsid w:val="00F5507E"/>
    <w:rsid w:val="00F756C1"/>
    <w:rsid w:val="00F80450"/>
    <w:rsid w:val="00F80B50"/>
    <w:rsid w:val="00F81E4E"/>
    <w:rsid w:val="00F83175"/>
    <w:rsid w:val="00F842B9"/>
    <w:rsid w:val="00F87037"/>
    <w:rsid w:val="00F9149B"/>
    <w:rsid w:val="00F9372B"/>
    <w:rsid w:val="00F9396D"/>
    <w:rsid w:val="00F946E8"/>
    <w:rsid w:val="00F95FA2"/>
    <w:rsid w:val="00FA40C6"/>
    <w:rsid w:val="00FA4BFF"/>
    <w:rsid w:val="00FA71E4"/>
    <w:rsid w:val="00FA776D"/>
    <w:rsid w:val="00FA7FDE"/>
    <w:rsid w:val="00FB47C8"/>
    <w:rsid w:val="00FB6943"/>
    <w:rsid w:val="00FC0643"/>
    <w:rsid w:val="00FC3646"/>
    <w:rsid w:val="00FC625E"/>
    <w:rsid w:val="00FD31C0"/>
    <w:rsid w:val="00FD5A9E"/>
    <w:rsid w:val="00FD67F0"/>
    <w:rsid w:val="00FD763D"/>
    <w:rsid w:val="00FD77EB"/>
    <w:rsid w:val="00FD7DFD"/>
    <w:rsid w:val="00FE348B"/>
    <w:rsid w:val="00FE6218"/>
    <w:rsid w:val="00FF2ED6"/>
    <w:rsid w:val="00FF34EF"/>
    <w:rsid w:val="00FF67F7"/>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538F"/>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89C"/>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CW_Lista,sw tekst,L1,Numerowanie,List Paragraph,Akapit z listą BS,normalny tekst,Akapit z listą5,T_SZ_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 w:type="paragraph" w:customStyle="1" w:styleId="ZnakZnakZnak">
    <w:name w:val="Znak Znak Znak"/>
    <w:basedOn w:val="Normalny"/>
    <w:rsid w:val="005E349A"/>
    <w:pPr>
      <w:tabs>
        <w:tab w:val="left" w:pos="709"/>
      </w:tabs>
      <w:spacing w:after="0" w:line="240" w:lineRule="auto"/>
    </w:pPr>
    <w:rPr>
      <w:rFonts w:ascii="Tahoma" w:eastAsia="Times New Roman" w:hAnsi="Tahoma" w:cs="Times New Roman"/>
      <w:sz w:val="24"/>
      <w:szCs w:val="24"/>
      <w:lang w:eastAsia="pl-PL"/>
    </w:rPr>
  </w:style>
  <w:style w:type="paragraph" w:styleId="Podtytu">
    <w:name w:val="Subtitle"/>
    <w:basedOn w:val="Normalny"/>
    <w:link w:val="PodtytuZnak"/>
    <w:qFormat/>
    <w:rsid w:val="00A51F28"/>
    <w:pPr>
      <w:spacing w:after="0" w:line="240" w:lineRule="auto"/>
      <w:jc w:val="both"/>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A51F28"/>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B4264917-83B7-4584-883C-1EFF6D1D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1561</Words>
  <Characters>9372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4</cp:revision>
  <cp:lastPrinted>2025-05-20T07:16:00Z</cp:lastPrinted>
  <dcterms:created xsi:type="dcterms:W3CDTF">2025-05-13T12:11:00Z</dcterms:created>
  <dcterms:modified xsi:type="dcterms:W3CDTF">2025-05-20T07:16:00Z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