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EC152" w14:textId="77777777" w:rsidR="006F1EE1" w:rsidRDefault="003806C1" w:rsidP="00A777F6">
      <w:pPr>
        <w:spacing w:after="0" w:line="259" w:lineRule="auto"/>
        <w:ind w:left="332" w:right="0" w:firstLine="0"/>
        <w:jc w:val="center"/>
      </w:pPr>
      <w:r>
        <w:rPr>
          <w:sz w:val="24"/>
        </w:rPr>
        <w:t xml:space="preserve"> </w:t>
      </w:r>
    </w:p>
    <w:p w14:paraId="637B6AE3" w14:textId="77777777" w:rsidR="006F1EE1" w:rsidRDefault="003806C1" w:rsidP="00A777F6">
      <w:pPr>
        <w:spacing w:after="0" w:line="259" w:lineRule="auto"/>
        <w:ind w:left="341" w:right="0" w:firstLine="0"/>
        <w:jc w:val="center"/>
      </w:pPr>
      <w:r>
        <w:rPr>
          <w:b/>
          <w:sz w:val="28"/>
        </w:rPr>
        <w:t xml:space="preserve"> </w:t>
      </w:r>
    </w:p>
    <w:p w14:paraId="10C0694C" w14:textId="77777777" w:rsidR="006F1EE1" w:rsidRDefault="003806C1" w:rsidP="00A777F6">
      <w:pPr>
        <w:spacing w:after="0" w:line="259" w:lineRule="auto"/>
        <w:ind w:left="341" w:right="0" w:firstLine="0"/>
        <w:jc w:val="center"/>
      </w:pPr>
      <w:r>
        <w:rPr>
          <w:b/>
          <w:sz w:val="28"/>
        </w:rPr>
        <w:t xml:space="preserve"> </w:t>
      </w:r>
    </w:p>
    <w:p w14:paraId="4094527D" w14:textId="77777777" w:rsidR="006F1EE1" w:rsidRDefault="003806C1" w:rsidP="00A777F6">
      <w:pPr>
        <w:spacing w:after="0" w:line="259" w:lineRule="auto"/>
        <w:ind w:left="341" w:right="0" w:firstLine="0"/>
        <w:jc w:val="center"/>
      </w:pPr>
      <w:r>
        <w:rPr>
          <w:b/>
          <w:sz w:val="28"/>
        </w:rPr>
        <w:t xml:space="preserve"> </w:t>
      </w:r>
    </w:p>
    <w:p w14:paraId="152D6300" w14:textId="77777777" w:rsidR="006F1EE1" w:rsidRDefault="003806C1" w:rsidP="00A777F6">
      <w:pPr>
        <w:spacing w:after="0" w:line="259" w:lineRule="auto"/>
        <w:ind w:left="341" w:right="0" w:firstLine="0"/>
        <w:jc w:val="center"/>
      </w:pPr>
      <w:r>
        <w:rPr>
          <w:b/>
          <w:sz w:val="28"/>
        </w:rPr>
        <w:t xml:space="preserve"> </w:t>
      </w:r>
    </w:p>
    <w:p w14:paraId="093BA576" w14:textId="77777777" w:rsidR="006F1EE1" w:rsidRDefault="003806C1" w:rsidP="00A777F6">
      <w:pPr>
        <w:spacing w:after="0" w:line="259" w:lineRule="auto"/>
        <w:ind w:left="3745" w:right="0"/>
        <w:jc w:val="left"/>
      </w:pPr>
      <w:r>
        <w:rPr>
          <w:b/>
          <w:sz w:val="28"/>
        </w:rPr>
        <w:t xml:space="preserve">SPECYFIKACJA TECHNICZNA </w:t>
      </w:r>
    </w:p>
    <w:p w14:paraId="504744A8" w14:textId="77777777" w:rsidR="006F1EE1" w:rsidRDefault="003806C1" w:rsidP="00A777F6">
      <w:pPr>
        <w:spacing w:after="0" w:line="259" w:lineRule="auto"/>
        <w:ind w:left="341" w:right="0" w:firstLine="0"/>
        <w:jc w:val="center"/>
      </w:pPr>
      <w:r>
        <w:rPr>
          <w:b/>
          <w:sz w:val="28"/>
        </w:rPr>
        <w:t xml:space="preserve"> </w:t>
      </w:r>
    </w:p>
    <w:p w14:paraId="5921C1FD" w14:textId="77777777" w:rsidR="006F1EE1" w:rsidRDefault="003806C1" w:rsidP="00A777F6">
      <w:pPr>
        <w:spacing w:after="0" w:line="259" w:lineRule="auto"/>
        <w:ind w:left="341" w:right="0" w:firstLine="0"/>
        <w:jc w:val="center"/>
      </w:pPr>
      <w:r>
        <w:rPr>
          <w:b/>
          <w:sz w:val="28"/>
        </w:rPr>
        <w:t xml:space="preserve"> </w:t>
      </w:r>
    </w:p>
    <w:p w14:paraId="7F1BE265" w14:textId="77777777" w:rsidR="006F1EE1" w:rsidRDefault="003806C1" w:rsidP="00A777F6">
      <w:pPr>
        <w:spacing w:after="0" w:line="259" w:lineRule="auto"/>
        <w:ind w:left="341" w:right="0" w:firstLine="0"/>
        <w:jc w:val="center"/>
      </w:pPr>
      <w:r>
        <w:rPr>
          <w:b/>
          <w:sz w:val="28"/>
        </w:rPr>
        <w:t xml:space="preserve"> </w:t>
      </w:r>
    </w:p>
    <w:p w14:paraId="6BC93493" w14:textId="77777777" w:rsidR="006F1EE1" w:rsidRDefault="003806C1" w:rsidP="00A777F6">
      <w:pPr>
        <w:spacing w:after="0" w:line="259" w:lineRule="auto"/>
        <w:ind w:left="341" w:right="0" w:firstLine="0"/>
        <w:jc w:val="center"/>
      </w:pPr>
      <w:r>
        <w:rPr>
          <w:b/>
          <w:sz w:val="28"/>
        </w:rPr>
        <w:t xml:space="preserve"> </w:t>
      </w:r>
    </w:p>
    <w:p w14:paraId="20F2DD38" w14:textId="77777777" w:rsidR="006F1EE1" w:rsidRDefault="003806C1" w:rsidP="00A777F6">
      <w:pPr>
        <w:spacing w:after="0" w:line="259" w:lineRule="auto"/>
        <w:ind w:left="275" w:right="0" w:firstLine="0"/>
        <w:jc w:val="center"/>
      </w:pPr>
      <w:r>
        <w:rPr>
          <w:b/>
          <w:sz w:val="28"/>
        </w:rPr>
        <w:t xml:space="preserve">D - 08.02.01a </w:t>
      </w:r>
    </w:p>
    <w:p w14:paraId="201D83E3" w14:textId="77777777" w:rsidR="006F1EE1" w:rsidRDefault="003806C1" w:rsidP="00A777F6">
      <w:pPr>
        <w:spacing w:after="0" w:line="259" w:lineRule="auto"/>
        <w:ind w:left="341" w:right="0" w:firstLine="0"/>
        <w:jc w:val="center"/>
      </w:pPr>
      <w:r>
        <w:rPr>
          <w:b/>
          <w:sz w:val="28"/>
        </w:rPr>
        <w:t xml:space="preserve"> </w:t>
      </w:r>
    </w:p>
    <w:p w14:paraId="2CC83097" w14:textId="5F79ED12" w:rsidR="006F1EE1" w:rsidRDefault="0008411B" w:rsidP="00A777F6">
      <w:pPr>
        <w:spacing w:after="0" w:line="259" w:lineRule="auto"/>
        <w:ind w:left="341" w:right="0" w:firstLine="0"/>
        <w:jc w:val="center"/>
      </w:pPr>
      <w:r w:rsidRPr="0008411B">
        <w:rPr>
          <w:b/>
          <w:sz w:val="28"/>
        </w:rPr>
        <w:t>NAWIERZCHNIE Z PŁYTEK WSKAŹNIKOWYCH</w:t>
      </w:r>
      <w:r w:rsidR="003806C1">
        <w:rPr>
          <w:b/>
          <w:sz w:val="28"/>
        </w:rPr>
        <w:t xml:space="preserve"> </w:t>
      </w:r>
    </w:p>
    <w:p w14:paraId="16FCCE99" w14:textId="77777777" w:rsidR="006F1EE1" w:rsidRDefault="003806C1" w:rsidP="00A777F6">
      <w:pPr>
        <w:spacing w:after="0" w:line="259" w:lineRule="auto"/>
        <w:ind w:left="341" w:right="0" w:firstLine="0"/>
        <w:jc w:val="center"/>
      </w:pPr>
      <w:r>
        <w:rPr>
          <w:b/>
          <w:sz w:val="28"/>
        </w:rPr>
        <w:t xml:space="preserve"> </w:t>
      </w:r>
    </w:p>
    <w:p w14:paraId="7B8E90D4" w14:textId="77777777" w:rsidR="006F1EE1" w:rsidRDefault="003806C1" w:rsidP="00A777F6">
      <w:pPr>
        <w:spacing w:after="0" w:line="259" w:lineRule="auto"/>
        <w:ind w:left="341" w:right="0" w:firstLine="0"/>
        <w:jc w:val="center"/>
      </w:pPr>
      <w:r>
        <w:rPr>
          <w:b/>
          <w:sz w:val="28"/>
        </w:rPr>
        <w:t xml:space="preserve"> </w:t>
      </w:r>
    </w:p>
    <w:p w14:paraId="27571FA3" w14:textId="77777777" w:rsidR="006F1EE1" w:rsidRDefault="003806C1" w:rsidP="00A777F6">
      <w:pPr>
        <w:spacing w:after="0" w:line="259" w:lineRule="auto"/>
        <w:ind w:left="341" w:right="0" w:firstLine="0"/>
        <w:jc w:val="center"/>
      </w:pPr>
      <w:r>
        <w:rPr>
          <w:b/>
          <w:sz w:val="28"/>
        </w:rPr>
        <w:t xml:space="preserve"> </w:t>
      </w:r>
    </w:p>
    <w:p w14:paraId="54656530" w14:textId="77777777" w:rsidR="006F1EE1" w:rsidRDefault="003806C1" w:rsidP="00A777F6">
      <w:pPr>
        <w:spacing w:after="0" w:line="259" w:lineRule="auto"/>
        <w:ind w:left="341" w:right="0" w:firstLine="0"/>
        <w:jc w:val="center"/>
      </w:pPr>
      <w:r>
        <w:rPr>
          <w:b/>
          <w:sz w:val="28"/>
        </w:rPr>
        <w:t xml:space="preserve"> </w:t>
      </w:r>
    </w:p>
    <w:p w14:paraId="50E7CC63" w14:textId="77777777" w:rsidR="006F1EE1" w:rsidRDefault="003806C1" w:rsidP="00A777F6">
      <w:pPr>
        <w:spacing w:after="0" w:line="259" w:lineRule="auto"/>
        <w:ind w:left="341" w:right="0" w:firstLine="0"/>
        <w:jc w:val="center"/>
      </w:pPr>
      <w:r>
        <w:rPr>
          <w:b/>
          <w:sz w:val="28"/>
        </w:rPr>
        <w:t xml:space="preserve"> </w:t>
      </w:r>
    </w:p>
    <w:p w14:paraId="6798C5A8" w14:textId="77777777" w:rsidR="006F1EE1" w:rsidRDefault="003806C1" w:rsidP="00A777F6">
      <w:pPr>
        <w:spacing w:after="0" w:line="259" w:lineRule="auto"/>
        <w:ind w:left="341" w:right="0" w:firstLine="0"/>
        <w:jc w:val="center"/>
      </w:pPr>
      <w:r>
        <w:rPr>
          <w:b/>
          <w:sz w:val="28"/>
        </w:rPr>
        <w:t xml:space="preserve"> </w:t>
      </w:r>
    </w:p>
    <w:p w14:paraId="6AE3BA1C" w14:textId="77777777" w:rsidR="006F1EE1" w:rsidRDefault="003806C1" w:rsidP="00A777F6">
      <w:pPr>
        <w:spacing w:after="0" w:line="259" w:lineRule="auto"/>
        <w:ind w:left="341" w:right="0" w:firstLine="0"/>
        <w:jc w:val="center"/>
      </w:pPr>
      <w:r>
        <w:rPr>
          <w:b/>
          <w:sz w:val="28"/>
        </w:rPr>
        <w:t xml:space="preserve"> </w:t>
      </w:r>
    </w:p>
    <w:p w14:paraId="3D67BC95" w14:textId="77777777" w:rsidR="006F1EE1" w:rsidRDefault="003806C1" w:rsidP="00A777F6">
      <w:pPr>
        <w:spacing w:after="0" w:line="259" w:lineRule="auto"/>
        <w:ind w:left="341" w:right="0" w:firstLine="0"/>
        <w:jc w:val="center"/>
      </w:pPr>
      <w:r>
        <w:rPr>
          <w:b/>
          <w:sz w:val="28"/>
        </w:rPr>
        <w:t xml:space="preserve"> </w:t>
      </w:r>
    </w:p>
    <w:p w14:paraId="4FBA7612" w14:textId="77777777" w:rsidR="006F1EE1" w:rsidRDefault="003806C1" w:rsidP="00A777F6">
      <w:pPr>
        <w:spacing w:after="0" w:line="259" w:lineRule="auto"/>
        <w:ind w:left="341" w:right="0" w:firstLine="0"/>
        <w:jc w:val="center"/>
      </w:pPr>
      <w:r>
        <w:rPr>
          <w:b/>
          <w:sz w:val="28"/>
        </w:rPr>
        <w:t xml:space="preserve"> </w:t>
      </w:r>
    </w:p>
    <w:p w14:paraId="3F50777E" w14:textId="77777777" w:rsidR="006F1EE1" w:rsidRDefault="003806C1" w:rsidP="00A777F6">
      <w:pPr>
        <w:spacing w:after="0" w:line="259" w:lineRule="auto"/>
        <w:ind w:left="341" w:right="0" w:firstLine="0"/>
        <w:jc w:val="center"/>
      </w:pPr>
      <w:r>
        <w:rPr>
          <w:b/>
          <w:sz w:val="28"/>
        </w:rPr>
        <w:t xml:space="preserve"> </w:t>
      </w:r>
    </w:p>
    <w:p w14:paraId="0D04E648" w14:textId="77777777" w:rsidR="006F1EE1" w:rsidRDefault="003806C1" w:rsidP="00A777F6">
      <w:pPr>
        <w:spacing w:after="0" w:line="259" w:lineRule="auto"/>
        <w:ind w:left="341" w:right="0" w:firstLine="0"/>
        <w:jc w:val="center"/>
      </w:pPr>
      <w:r>
        <w:rPr>
          <w:b/>
          <w:sz w:val="28"/>
        </w:rPr>
        <w:t xml:space="preserve"> </w:t>
      </w:r>
    </w:p>
    <w:p w14:paraId="100312E7" w14:textId="77777777" w:rsidR="006F1EE1" w:rsidRDefault="003806C1" w:rsidP="00A777F6">
      <w:pPr>
        <w:spacing w:after="0" w:line="259" w:lineRule="auto"/>
        <w:ind w:left="341" w:right="0" w:firstLine="0"/>
        <w:jc w:val="center"/>
      </w:pPr>
      <w:r>
        <w:rPr>
          <w:b/>
          <w:sz w:val="28"/>
        </w:rPr>
        <w:t xml:space="preserve"> </w:t>
      </w:r>
    </w:p>
    <w:p w14:paraId="60F8EAFA" w14:textId="77777777" w:rsidR="006F1EE1" w:rsidRDefault="003806C1" w:rsidP="00A777F6">
      <w:pPr>
        <w:spacing w:after="0" w:line="259" w:lineRule="auto"/>
        <w:ind w:left="332" w:right="0" w:firstLine="0"/>
        <w:jc w:val="center"/>
      </w:pPr>
      <w:r>
        <w:rPr>
          <w:sz w:val="24"/>
        </w:rPr>
        <w:t xml:space="preserve"> </w:t>
      </w:r>
    </w:p>
    <w:p w14:paraId="485B6877" w14:textId="77777777" w:rsidR="006F1EE1" w:rsidRDefault="003806C1" w:rsidP="00A777F6">
      <w:pPr>
        <w:pStyle w:val="Nagwek1"/>
        <w:spacing w:after="0"/>
        <w:ind w:left="278"/>
      </w:pPr>
      <w:r>
        <w:t xml:space="preserve">1. WSTĘP </w:t>
      </w:r>
    </w:p>
    <w:p w14:paraId="75C3696E" w14:textId="77777777" w:rsidR="006F1EE1" w:rsidRDefault="003806C1" w:rsidP="00A777F6">
      <w:pPr>
        <w:pStyle w:val="Nagwek2"/>
        <w:spacing w:after="0"/>
        <w:ind w:left="653"/>
      </w:pPr>
      <w:r>
        <w:t xml:space="preserve">1.1. Przedmiot ST </w:t>
      </w:r>
    </w:p>
    <w:p w14:paraId="64B096BF" w14:textId="4CBFC365" w:rsidR="006F1EE1" w:rsidRDefault="003806C1" w:rsidP="00A777F6">
      <w:pPr>
        <w:spacing w:after="0"/>
        <w:ind w:left="278" w:right="0"/>
      </w:pPr>
      <w:r>
        <w:rPr>
          <w:b/>
        </w:rPr>
        <w:t xml:space="preserve"> </w:t>
      </w:r>
      <w:r>
        <w:t>Przedmiotem niniejszej szczegółowej specyfikacji technicznej (ST) są wymagania dotyczące wykonania i odbioru robót związanych z wykonaniem fragmentów chodnika z płyt chodnikowych wskaźnikowych betonowych stosowanych na peronach przystanków trolejbusowych i autobusowych oraz przejściach dla pieszych w ramach zadania pn.:  „</w:t>
      </w:r>
      <w:r w:rsidR="00092901" w:rsidRPr="00092901">
        <w:rPr>
          <w:b/>
        </w:rPr>
        <w:t>Odnowa nawierzchni drogi wojewódzkiej Nr 241</w:t>
      </w:r>
      <w:r>
        <w:rPr>
          <w:b/>
        </w:rPr>
        <w:t xml:space="preserve">.  </w:t>
      </w:r>
    </w:p>
    <w:p w14:paraId="7B999A0B" w14:textId="6767A3C9" w:rsidR="006F1EE1" w:rsidRDefault="003806C1" w:rsidP="00A777F6">
      <w:pPr>
        <w:spacing w:after="0" w:line="259" w:lineRule="auto"/>
        <w:ind w:left="283" w:right="0" w:firstLine="0"/>
        <w:jc w:val="left"/>
      </w:pPr>
      <w:r>
        <w:t xml:space="preserve">  </w:t>
      </w:r>
    </w:p>
    <w:p w14:paraId="4EB7A53C" w14:textId="77777777" w:rsidR="006F1EE1" w:rsidRDefault="003806C1" w:rsidP="00A777F6">
      <w:pPr>
        <w:spacing w:after="0"/>
        <w:ind w:left="278" w:right="0"/>
      </w:pPr>
      <w:r>
        <w:t xml:space="preserve">Zakres stosowania ST </w:t>
      </w:r>
    </w:p>
    <w:p w14:paraId="764AD7C5" w14:textId="77777777" w:rsidR="006F1EE1" w:rsidRDefault="003806C1" w:rsidP="00A777F6">
      <w:pPr>
        <w:spacing w:after="0"/>
        <w:ind w:left="278" w:right="0"/>
      </w:pPr>
      <w:r>
        <w:rPr>
          <w:b/>
        </w:rPr>
        <w:t xml:space="preserve"> </w:t>
      </w:r>
      <w:r>
        <w:t xml:space="preserve">Specyfikacja techniczna (ST) stosowana jest jako dokument przetargowy i kontraktowy przy wykonaniu robót opisanych w podpunkcie 1.1. </w:t>
      </w:r>
    </w:p>
    <w:p w14:paraId="30448CC4" w14:textId="77777777" w:rsidR="006F1EE1" w:rsidRDefault="003806C1" w:rsidP="00A777F6">
      <w:pPr>
        <w:pStyle w:val="Nagwek2"/>
        <w:spacing w:after="0"/>
        <w:ind w:left="653"/>
      </w:pPr>
      <w:r>
        <w:t xml:space="preserve">1.2. Zakres robót objętych ST </w:t>
      </w:r>
    </w:p>
    <w:p w14:paraId="50D8F9C4" w14:textId="24D1E3D4" w:rsidR="006F1EE1" w:rsidRDefault="003806C1" w:rsidP="00A777F6">
      <w:pPr>
        <w:spacing w:after="0"/>
        <w:ind w:left="278" w:right="886"/>
      </w:pPr>
      <w:r>
        <w:rPr>
          <w:b/>
        </w:rPr>
        <w:t xml:space="preserve"> </w:t>
      </w:r>
      <w:r>
        <w:rPr>
          <w:b/>
        </w:rPr>
        <w:tab/>
      </w:r>
      <w:r>
        <w:t xml:space="preserve">Ustalenia zawarte w niniejszej specyfikacji dotyczą zasad prowadzenia robót związanych z wykonywaniem chodników: na przystankach komunikacji zbiorowej </w:t>
      </w:r>
    </w:p>
    <w:p w14:paraId="2EF2C7BE" w14:textId="77777777" w:rsidR="006F1EE1" w:rsidRDefault="003806C1" w:rsidP="00A777F6">
      <w:pPr>
        <w:pStyle w:val="Nagwek2"/>
        <w:spacing w:after="0"/>
        <w:ind w:left="653"/>
      </w:pPr>
      <w:r>
        <w:t xml:space="preserve">1.3. Określenia podstawowe </w:t>
      </w:r>
    </w:p>
    <w:p w14:paraId="32E5A14F" w14:textId="05CAAB3E" w:rsidR="006F1EE1" w:rsidRDefault="003806C1" w:rsidP="00A777F6">
      <w:pPr>
        <w:spacing w:after="0"/>
        <w:ind w:left="278" w:right="0"/>
      </w:pPr>
      <w:r>
        <w:rPr>
          <w:b/>
        </w:rPr>
        <w:t xml:space="preserve">1.3.1. </w:t>
      </w:r>
      <w:r>
        <w:t>Betonowe płytki wskaźnikowe</w:t>
      </w:r>
      <w:r w:rsidR="00E65564">
        <w:t xml:space="preserve"> </w:t>
      </w:r>
      <w:r>
        <w:t>- prefabrykowane elementy do wykonywania</w:t>
      </w:r>
      <w:r w:rsidR="006734CF">
        <w:t xml:space="preserve"> </w:t>
      </w:r>
      <w:r>
        <w:t>części nawierzchni chodnikowej przystanków komunikacji zbiorowej, przy przejściach dla pieszych i w innych miejscach gdzie jest to wskazane, posiadające specjalnie ukształtowane powierzchnie rozpoznawalne dotykowo w celu ułatwienia przemieszczania się osób niewidomych i niedowidzących</w:t>
      </w:r>
      <w:r w:rsidR="006734CF">
        <w:t xml:space="preserve"> </w:t>
      </w:r>
      <w:r>
        <w:t xml:space="preserve">wchodzące w skład systemu nawierzchni bez barier architektonicznych. </w:t>
      </w:r>
    </w:p>
    <w:p w14:paraId="2E6A3302" w14:textId="53FA0713" w:rsidR="006F1EE1" w:rsidRDefault="003806C1" w:rsidP="00A777F6">
      <w:pPr>
        <w:spacing w:after="0"/>
        <w:ind w:left="278" w:right="0"/>
      </w:pPr>
      <w:r>
        <w:rPr>
          <w:b/>
        </w:rPr>
        <w:t xml:space="preserve">1.3.2. </w:t>
      </w:r>
      <w:r>
        <w:t>Płytki ostrzegawcze - pole decyzji-prefabrykowane płyty betonowe ze specjalnie ukształtowaną górną powierzchnią</w:t>
      </w:r>
      <w:r w:rsidR="006734CF">
        <w:t xml:space="preserve"> </w:t>
      </w:r>
      <w:r>
        <w:t xml:space="preserve">z wypustkami w kształcie stożka ściętego stosowane w celu zasygnalizowania strefy decyzji. Służą do poinformowania osoby niedowidzącej, niewidomej, że w miejscu ich występowania jest możliwość (lub konieczność) zmiany kierunku, lub za miejscem ich występowania znajduje się przejście dla pieszych przez jezdnię.  </w:t>
      </w:r>
    </w:p>
    <w:p w14:paraId="3B33AF5D" w14:textId="77777777" w:rsidR="006F1EE1" w:rsidRDefault="003806C1" w:rsidP="00A777F6">
      <w:pPr>
        <w:spacing w:after="0"/>
        <w:ind w:left="278" w:right="0"/>
      </w:pPr>
      <w:r>
        <w:rPr>
          <w:b/>
        </w:rPr>
        <w:t xml:space="preserve">1.3.3. </w:t>
      </w:r>
      <w:r>
        <w:t xml:space="preserve">Płytki kierunkowe - prowadzące -prefabrykowane płyty betonowe ze specjalnie ukształtowana górną powierzchnią z wypustkami wzdłużnymi trapezoidalnymi, stosowane do wyznaczania kierunku przejścia przez jezdnię za krawężnikiem, do zasygnalizowania bezpiecznej odległości od krawędzi peronów przystankowych, oznaczające pole wsiadania do  autobusu (sytuowane na wysokości pierwszych drzwi zatrzymującego się przy peronie pojazdu) oraz do wyznaczanie ścieżek prowadzących dla osób niedowidzących i niewidomych. Płytki te mogą oznaczać także miejsce gdzie znajdują się schody, winda, wejście do budynku, lub informator głosowy. </w:t>
      </w:r>
    </w:p>
    <w:p w14:paraId="2354CE19" w14:textId="3A8D749C" w:rsidR="006F1EE1" w:rsidRDefault="003806C1" w:rsidP="00A777F6">
      <w:pPr>
        <w:tabs>
          <w:tab w:val="center" w:pos="488"/>
          <w:tab w:val="right" w:pos="10641"/>
        </w:tabs>
        <w:spacing w:after="0"/>
        <w:ind w:left="0" w:right="0" w:firstLine="0"/>
        <w:jc w:val="left"/>
      </w:pPr>
      <w:r>
        <w:rPr>
          <w:rFonts w:ascii="Calibri" w:eastAsia="Calibri" w:hAnsi="Calibri" w:cs="Calibri"/>
          <w:sz w:val="22"/>
        </w:rPr>
        <w:lastRenderedPageBreak/>
        <w:tab/>
      </w:r>
      <w:r>
        <w:rPr>
          <w:b/>
        </w:rPr>
        <w:t xml:space="preserve">1.3.4. </w:t>
      </w:r>
      <w:r>
        <w:rPr>
          <w:b/>
        </w:rPr>
        <w:tab/>
      </w:r>
      <w:r>
        <w:t xml:space="preserve">Pozostałe określenia podstawowe są zgodne z obowiązującymi, odpowiednimi polskimi normami i z definicjami podanymi w STD-M-00.00.00 „Wymagania ogólne”. </w:t>
      </w:r>
    </w:p>
    <w:p w14:paraId="07736C4D" w14:textId="77777777" w:rsidR="006F1EE1" w:rsidRDefault="003806C1" w:rsidP="00A777F6">
      <w:pPr>
        <w:spacing w:after="0" w:line="259" w:lineRule="auto"/>
        <w:ind w:left="653" w:right="0"/>
        <w:jc w:val="left"/>
      </w:pPr>
      <w:r>
        <w:rPr>
          <w:b/>
        </w:rPr>
        <w:t xml:space="preserve">1.4. Ogólne wymagania dotyczące robót </w:t>
      </w:r>
    </w:p>
    <w:p w14:paraId="720E89EE" w14:textId="77777777" w:rsidR="006F1EE1" w:rsidRDefault="003806C1" w:rsidP="00A777F6">
      <w:pPr>
        <w:tabs>
          <w:tab w:val="center" w:pos="283"/>
          <w:tab w:val="center" w:pos="4397"/>
        </w:tabs>
        <w:spacing w:after="0"/>
        <w:ind w:left="0" w:right="0" w:firstLine="0"/>
        <w:jc w:val="left"/>
      </w:pPr>
      <w:r>
        <w:rPr>
          <w:rFonts w:ascii="Calibri" w:eastAsia="Calibri" w:hAnsi="Calibri" w:cs="Calibri"/>
          <w:sz w:val="22"/>
        </w:rPr>
        <w:tab/>
      </w:r>
      <w:r>
        <w:t xml:space="preserve"> </w:t>
      </w:r>
      <w:r>
        <w:tab/>
        <w:t xml:space="preserve">Ogólne wymagania dotyczące robót podano w ST D-M-00.00.00 „Wymagania ogólne” pkt 1.5. </w:t>
      </w:r>
    </w:p>
    <w:p w14:paraId="32CE6600" w14:textId="77777777" w:rsidR="006F1EE1" w:rsidRDefault="003806C1" w:rsidP="00A777F6">
      <w:pPr>
        <w:pStyle w:val="Nagwek1"/>
        <w:spacing w:after="0"/>
        <w:ind w:left="278"/>
      </w:pPr>
      <w:r>
        <w:t xml:space="preserve">2. MATERIAŁY </w:t>
      </w:r>
    </w:p>
    <w:p w14:paraId="332BCF43" w14:textId="77777777" w:rsidR="006F1EE1" w:rsidRDefault="003806C1" w:rsidP="00A777F6">
      <w:pPr>
        <w:pStyle w:val="Nagwek2"/>
        <w:spacing w:after="0"/>
        <w:ind w:left="278"/>
      </w:pPr>
      <w:r>
        <w:t xml:space="preserve">2.1. Ogólne wymagania dotyczące materiałów </w:t>
      </w:r>
    </w:p>
    <w:p w14:paraId="682664FC" w14:textId="77777777" w:rsidR="00A33E5E" w:rsidRDefault="003806C1" w:rsidP="00A777F6">
      <w:pPr>
        <w:spacing w:after="0" w:line="405" w:lineRule="auto"/>
        <w:ind w:left="278" w:right="0"/>
      </w:pPr>
      <w:r>
        <w:t xml:space="preserve"> </w:t>
      </w:r>
      <w:r>
        <w:tab/>
        <w:t>Ogólne wymagania dotyczące materiałów, ich pozyskiwania i składowania, podano w ST-D-M-00.00.00 „Wymagania ogólne” pkt 2.</w:t>
      </w:r>
    </w:p>
    <w:p w14:paraId="32BB1F33" w14:textId="0FA1575A" w:rsidR="006F1EE1" w:rsidRDefault="003806C1" w:rsidP="00A777F6">
      <w:pPr>
        <w:spacing w:after="0" w:line="405" w:lineRule="auto"/>
        <w:ind w:left="278" w:right="0"/>
      </w:pPr>
      <w:r>
        <w:rPr>
          <w:b/>
        </w:rPr>
        <w:t xml:space="preserve">2.2. Stosowane materiały </w:t>
      </w:r>
    </w:p>
    <w:p w14:paraId="4FA8A38B" w14:textId="77777777" w:rsidR="006F1EE1" w:rsidRDefault="003806C1" w:rsidP="00A777F6">
      <w:pPr>
        <w:tabs>
          <w:tab w:val="center" w:pos="283"/>
          <w:tab w:val="center" w:pos="2048"/>
        </w:tabs>
        <w:spacing w:after="0"/>
        <w:ind w:left="0" w:right="0" w:firstLine="0"/>
        <w:jc w:val="left"/>
      </w:pPr>
      <w:r>
        <w:rPr>
          <w:rFonts w:ascii="Calibri" w:eastAsia="Calibri" w:hAnsi="Calibri" w:cs="Calibri"/>
          <w:sz w:val="22"/>
        </w:rPr>
        <w:tab/>
      </w:r>
      <w:r>
        <w:t xml:space="preserve"> </w:t>
      </w:r>
      <w:r>
        <w:tab/>
        <w:t xml:space="preserve">Materiałami stosowanymi są: </w:t>
      </w:r>
    </w:p>
    <w:p w14:paraId="1396F84C" w14:textId="4B1815F5" w:rsidR="006F1EE1" w:rsidRDefault="00E65564" w:rsidP="00A777F6">
      <w:pPr>
        <w:spacing w:after="0"/>
        <w:ind w:left="551" w:right="0" w:firstLine="0"/>
      </w:pPr>
      <w:r>
        <w:t xml:space="preserve">- </w:t>
      </w:r>
      <w:r w:rsidR="003806C1">
        <w:t xml:space="preserve">płyty wskaźnikowe, </w:t>
      </w:r>
    </w:p>
    <w:p w14:paraId="21C02532" w14:textId="53A2C6E2" w:rsidR="006F1EE1" w:rsidRDefault="00E65564" w:rsidP="00A777F6">
      <w:pPr>
        <w:spacing w:after="0"/>
        <w:ind w:right="0"/>
      </w:pPr>
      <w:r>
        <w:t xml:space="preserve">     - </w:t>
      </w:r>
      <w:r w:rsidR="003806C1">
        <w:t xml:space="preserve">piasek na podsypkę  </w:t>
      </w:r>
    </w:p>
    <w:p w14:paraId="635FC1BC" w14:textId="26B4A6B1" w:rsidR="006F1EE1" w:rsidRDefault="00E65564" w:rsidP="00A777F6">
      <w:pPr>
        <w:spacing w:after="0"/>
        <w:ind w:left="551" w:right="0" w:firstLine="0"/>
      </w:pPr>
      <w:r>
        <w:t xml:space="preserve">- </w:t>
      </w:r>
      <w:r w:rsidR="003806C1">
        <w:t xml:space="preserve">cement do podsypki </w:t>
      </w:r>
    </w:p>
    <w:p w14:paraId="6B982994" w14:textId="6ABCE700" w:rsidR="006F1EE1" w:rsidRDefault="00E65564" w:rsidP="00A777F6">
      <w:pPr>
        <w:spacing w:after="0"/>
        <w:ind w:left="551" w:right="0" w:firstLine="0"/>
      </w:pPr>
      <w:r>
        <w:t xml:space="preserve">- </w:t>
      </w:r>
      <w:r w:rsidR="003806C1">
        <w:t xml:space="preserve">woda, </w:t>
      </w:r>
    </w:p>
    <w:p w14:paraId="477FFC44" w14:textId="77777777" w:rsidR="006F1EE1" w:rsidRDefault="003806C1" w:rsidP="00A777F6">
      <w:pPr>
        <w:pStyle w:val="Nagwek2"/>
        <w:spacing w:after="0" w:line="398" w:lineRule="auto"/>
        <w:ind w:left="278" w:right="7996"/>
      </w:pPr>
      <w:r>
        <w:t xml:space="preserve">2.3. Płyty wskaźnikowe 2.3.1. Typy płyt </w:t>
      </w:r>
    </w:p>
    <w:p w14:paraId="13FD8CF4" w14:textId="77777777" w:rsidR="006F1EE1" w:rsidRDefault="003806C1" w:rsidP="00A777F6">
      <w:pPr>
        <w:tabs>
          <w:tab w:val="center" w:pos="283"/>
          <w:tab w:val="center" w:pos="4032"/>
        </w:tabs>
        <w:spacing w:after="0"/>
        <w:ind w:left="0" w:right="0" w:firstLine="0"/>
        <w:jc w:val="left"/>
      </w:pPr>
      <w:r>
        <w:rPr>
          <w:rFonts w:ascii="Calibri" w:eastAsia="Calibri" w:hAnsi="Calibri" w:cs="Calibri"/>
          <w:sz w:val="22"/>
        </w:rPr>
        <w:tab/>
      </w:r>
      <w:r>
        <w:t xml:space="preserve"> </w:t>
      </w:r>
      <w:r>
        <w:tab/>
        <w:t xml:space="preserve">W zależności od przeznaczenia rozróżnia się następujące typy płyt wskaźnikowych: </w:t>
      </w:r>
    </w:p>
    <w:p w14:paraId="011534BA" w14:textId="77777777" w:rsidR="006F1EE1" w:rsidRDefault="003806C1" w:rsidP="00A777F6">
      <w:pPr>
        <w:numPr>
          <w:ilvl w:val="0"/>
          <w:numId w:val="2"/>
        </w:numPr>
        <w:spacing w:after="0"/>
        <w:ind w:right="706" w:hanging="101"/>
      </w:pPr>
      <w:r>
        <w:t xml:space="preserve">płytki ostrzegawcze – pole decyzji (z wypustkami w kształcie stożka ściętego), </w:t>
      </w:r>
    </w:p>
    <w:p w14:paraId="25946D02" w14:textId="77777777" w:rsidR="006F1EE1" w:rsidRDefault="003806C1" w:rsidP="00A777F6">
      <w:pPr>
        <w:numPr>
          <w:ilvl w:val="0"/>
          <w:numId w:val="2"/>
        </w:numPr>
        <w:spacing w:after="0"/>
        <w:ind w:right="706" w:hanging="101"/>
      </w:pPr>
      <w:r>
        <w:t xml:space="preserve">płytki kierunkowe (prowadzące z wypustkami wzdłużnymi trapezoidalnymi symetrycznymi na niemal całej długości płytki) - płytki z wypustkami trapezoidalnymi asymetrycznymi -  (stosowane tylko na pochylniach dla wózków inwalidzkich).  </w:t>
      </w:r>
    </w:p>
    <w:p w14:paraId="4A26AA5D" w14:textId="77777777" w:rsidR="006F1EE1" w:rsidRDefault="003806C1" w:rsidP="00A777F6">
      <w:pPr>
        <w:spacing w:after="0"/>
        <w:ind w:left="278" w:right="0"/>
      </w:pPr>
      <w:r>
        <w:rPr>
          <w:b/>
        </w:rPr>
        <w:t xml:space="preserve">2.3.2. </w:t>
      </w:r>
      <w:r>
        <w:t xml:space="preserve">Odmiany kolorystyczne </w:t>
      </w:r>
    </w:p>
    <w:p w14:paraId="48627F73" w14:textId="6DE26D56" w:rsidR="006F1EE1" w:rsidRDefault="003806C1" w:rsidP="00A777F6">
      <w:pPr>
        <w:spacing w:after="0"/>
        <w:ind w:left="278" w:right="5524"/>
      </w:pPr>
      <w:r>
        <w:t xml:space="preserve"> </w:t>
      </w:r>
      <w:r>
        <w:tab/>
        <w:t xml:space="preserve">W zależności od przeznaczenia rozróżnia się odmiany: 1 </w:t>
      </w:r>
      <w:r w:rsidR="00B62895">
        <w:t>–</w:t>
      </w:r>
      <w:r>
        <w:t xml:space="preserve"> płyty</w:t>
      </w:r>
      <w:r w:rsidR="00B62895">
        <w:t xml:space="preserve"> </w:t>
      </w:r>
      <w:r>
        <w:t xml:space="preserve">standardowe–białe. </w:t>
      </w:r>
    </w:p>
    <w:p w14:paraId="05C02FDB" w14:textId="708B2408" w:rsidR="006F1EE1" w:rsidRDefault="003806C1" w:rsidP="00A777F6">
      <w:pPr>
        <w:spacing w:after="0"/>
        <w:ind w:left="278" w:right="0"/>
      </w:pPr>
      <w:r>
        <w:t xml:space="preserve">2 </w:t>
      </w:r>
      <w:r w:rsidR="00B62895">
        <w:t>–</w:t>
      </w:r>
      <w:r>
        <w:t xml:space="preserve"> płyty</w:t>
      </w:r>
      <w:r w:rsidR="00B62895">
        <w:t xml:space="preserve"> </w:t>
      </w:r>
      <w:r>
        <w:t xml:space="preserve">barwione. </w:t>
      </w:r>
    </w:p>
    <w:p w14:paraId="38F88634" w14:textId="24F24D8E" w:rsidR="006F1EE1" w:rsidRDefault="003806C1" w:rsidP="00A777F6">
      <w:pPr>
        <w:spacing w:after="0"/>
        <w:ind w:left="278" w:right="0"/>
      </w:pPr>
      <w:r>
        <w:t>Kolor płyt</w:t>
      </w:r>
      <w:r w:rsidR="00B62895">
        <w:t xml:space="preserve"> </w:t>
      </w:r>
      <w:r>
        <w:t xml:space="preserve">winien odpowiadać wymaganiom określonym w projekcie budowlanym lub wykonawczym. </w:t>
      </w:r>
    </w:p>
    <w:p w14:paraId="314141B9" w14:textId="7E9603CB" w:rsidR="006F1EE1" w:rsidRDefault="003806C1" w:rsidP="00A777F6">
      <w:pPr>
        <w:spacing w:after="0"/>
        <w:ind w:left="278" w:right="0"/>
      </w:pPr>
      <w:r>
        <w:t>Wykonawca przed zamówieniem dostawy musi przedstawić Zamawiającemu próbki płyt do ostatecznego zatwierdzenia barwy i dalszego porównania dostarczanych płyt z wzorcowymi.</w:t>
      </w:r>
      <w:r w:rsidR="00B62895">
        <w:t xml:space="preserve"> </w:t>
      </w:r>
      <w:r>
        <w:rPr>
          <w:b/>
        </w:rPr>
        <w:t>Beton płyt winien być barwiony w całej masie</w:t>
      </w:r>
      <w:r>
        <w:t xml:space="preserve">, w związku z tym kolorystyka płyt ma ograniczenia technologiczne pod względem jaskrawości. Na przykład dla odcienia maksymalnie zbliżonego do koloru żółtego beton winien być co najmniej o barwie RAL 1002 lub bardziej jaskrawej. </w:t>
      </w:r>
    </w:p>
    <w:p w14:paraId="2F831EF7" w14:textId="77777777" w:rsidR="006F1EE1" w:rsidRDefault="003806C1" w:rsidP="00A777F6">
      <w:pPr>
        <w:pStyle w:val="Nagwek3"/>
        <w:spacing w:after="0"/>
        <w:ind w:left="278"/>
      </w:pPr>
      <w:r>
        <w:t xml:space="preserve">2.3.3. Płytki wskaźnikowe - wymagania techniczne </w:t>
      </w:r>
    </w:p>
    <w:p w14:paraId="5447AB84" w14:textId="77777777" w:rsidR="006F1EE1" w:rsidRDefault="003806C1" w:rsidP="00A777F6">
      <w:pPr>
        <w:spacing w:after="0"/>
        <w:ind w:left="653" w:right="0"/>
      </w:pPr>
      <w:r>
        <w:rPr>
          <w:b/>
        </w:rPr>
        <w:t xml:space="preserve">2.3.3.1. </w:t>
      </w:r>
      <w:r>
        <w:t xml:space="preserve">Kształt i wymiary wypustek </w:t>
      </w:r>
    </w:p>
    <w:p w14:paraId="7B331D9A" w14:textId="2D69FC92" w:rsidR="006F1EE1" w:rsidRDefault="003806C1" w:rsidP="00A777F6">
      <w:pPr>
        <w:spacing w:after="0" w:line="259" w:lineRule="auto"/>
        <w:ind w:left="278" w:right="-10"/>
      </w:pPr>
      <w:r>
        <w:t>Kształt płytek</w:t>
      </w:r>
      <w:r w:rsidR="00B62895">
        <w:t xml:space="preserve"> </w:t>
      </w:r>
      <w:r>
        <w:t>kierunkowych symetrycznych i ostrzegawczych przedstawiono na rys. 1a i 2a. Dopuszczalne odchyłki wymiarów</w:t>
      </w:r>
      <w:r w:rsidR="00B62895">
        <w:t xml:space="preserve"> </w:t>
      </w:r>
      <w:r>
        <w:t>płytek</w:t>
      </w:r>
      <w:r w:rsidR="00B62895">
        <w:t xml:space="preserve"> </w:t>
      </w:r>
      <w:r>
        <w:t>wskaźnikowych(poza wypustkami) podano w tablicy 1 i 2. Wymiary i tolerancje wypustek płytki prowadzącej na podstawie normy DIN 32984 podano na rys. 1b. Wymiary i tolerancje wypustek płytki ostrzegawczej</w:t>
      </w:r>
      <w:r w:rsidR="00B62895">
        <w:t xml:space="preserve"> </w:t>
      </w:r>
      <w:r>
        <w:t xml:space="preserve">na podstawie normy DIN 32984 podano na rys. 2b.  </w:t>
      </w:r>
    </w:p>
    <w:p w14:paraId="73038C5C" w14:textId="77777777" w:rsidR="006F1EE1" w:rsidRDefault="003806C1" w:rsidP="00A777F6">
      <w:pPr>
        <w:spacing w:after="0" w:line="259" w:lineRule="auto"/>
        <w:ind w:left="994" w:right="0" w:firstLine="0"/>
        <w:jc w:val="left"/>
      </w:pPr>
      <w:r>
        <w:t xml:space="preserve"> </w:t>
      </w:r>
    </w:p>
    <w:p w14:paraId="6A2CA985" w14:textId="77777777" w:rsidR="006F1EE1" w:rsidRDefault="003806C1" w:rsidP="00A777F6">
      <w:pPr>
        <w:spacing w:after="0" w:line="259" w:lineRule="auto"/>
        <w:ind w:left="2203" w:right="0" w:firstLine="0"/>
        <w:jc w:val="left"/>
      </w:pPr>
      <w:r>
        <w:rPr>
          <w:rFonts w:ascii="Calibri" w:eastAsia="Calibri" w:hAnsi="Calibri" w:cs="Calibri"/>
          <w:noProof/>
          <w:sz w:val="22"/>
        </w:rPr>
        <mc:AlternateContent>
          <mc:Choice Requires="wpg">
            <w:drawing>
              <wp:inline distT="0" distB="0" distL="0" distR="0" wp14:anchorId="1E4843E2" wp14:editId="5560E774">
                <wp:extent cx="4129385" cy="1314496"/>
                <wp:effectExtent l="0" t="0" r="0" b="0"/>
                <wp:docPr id="15337" name="Group 15337"/>
                <wp:cNvGraphicFramePr/>
                <a:graphic xmlns:a="http://schemas.openxmlformats.org/drawingml/2006/main">
                  <a:graphicData uri="http://schemas.microsoft.com/office/word/2010/wordprocessingGroup">
                    <wpg:wgp>
                      <wpg:cNvGrpSpPr/>
                      <wpg:grpSpPr>
                        <a:xfrm>
                          <a:off x="0" y="0"/>
                          <a:ext cx="4129385" cy="1314496"/>
                          <a:chOff x="0" y="0"/>
                          <a:chExt cx="4129385" cy="1314496"/>
                        </a:xfrm>
                      </wpg:grpSpPr>
                      <pic:pic xmlns:pic="http://schemas.openxmlformats.org/drawingml/2006/picture">
                        <pic:nvPicPr>
                          <pic:cNvPr id="556" name="Picture 556"/>
                          <pic:cNvPicPr/>
                        </pic:nvPicPr>
                        <pic:blipFill>
                          <a:blip r:embed="rId7"/>
                          <a:stretch>
                            <a:fillRect/>
                          </a:stretch>
                        </pic:blipFill>
                        <pic:spPr>
                          <a:xfrm>
                            <a:off x="0" y="0"/>
                            <a:ext cx="1897064" cy="1312440"/>
                          </a:xfrm>
                          <a:prstGeom prst="rect">
                            <a:avLst/>
                          </a:prstGeom>
                        </pic:spPr>
                      </pic:pic>
                      <pic:pic xmlns:pic="http://schemas.openxmlformats.org/drawingml/2006/picture">
                        <pic:nvPicPr>
                          <pic:cNvPr id="558" name="Picture 558"/>
                          <pic:cNvPicPr/>
                        </pic:nvPicPr>
                        <pic:blipFill>
                          <a:blip r:embed="rId8"/>
                          <a:stretch>
                            <a:fillRect/>
                          </a:stretch>
                        </pic:blipFill>
                        <pic:spPr>
                          <a:xfrm>
                            <a:off x="1905000" y="95268"/>
                            <a:ext cx="2224385" cy="1219228"/>
                          </a:xfrm>
                          <a:prstGeom prst="rect">
                            <a:avLst/>
                          </a:prstGeom>
                        </pic:spPr>
                      </pic:pic>
                    </wpg:wgp>
                  </a:graphicData>
                </a:graphic>
              </wp:inline>
            </w:drawing>
          </mc:Choice>
          <mc:Fallback xmlns:a="http://schemas.openxmlformats.org/drawingml/2006/main">
            <w:pict>
              <v:group id="Group 15337" style="width:325.148pt;height:103.504pt;mso-position-horizontal-relative:char;mso-position-vertical-relative:line" coordsize="41293,13144">
                <v:shape id="Picture 556" style="position:absolute;width:18970;height:13124;left:0;top:0;" filled="f">
                  <v:imagedata r:id="rId9"/>
                </v:shape>
                <v:shape id="Picture 558" style="position:absolute;width:22243;height:12192;left:19050;top:952;" filled="f">
                  <v:imagedata r:id="rId10"/>
                </v:shape>
              </v:group>
            </w:pict>
          </mc:Fallback>
        </mc:AlternateContent>
      </w:r>
      <w:r>
        <w:rPr>
          <w:sz w:val="24"/>
        </w:rPr>
        <w:t xml:space="preserve"> </w:t>
      </w:r>
    </w:p>
    <w:p w14:paraId="4E703625" w14:textId="77777777" w:rsidR="006F1EE1" w:rsidRDefault="003806C1" w:rsidP="00A777F6">
      <w:pPr>
        <w:spacing w:after="0" w:line="259" w:lineRule="auto"/>
        <w:ind w:left="332" w:right="0" w:firstLine="0"/>
        <w:jc w:val="center"/>
      </w:pPr>
      <w:r>
        <w:rPr>
          <w:sz w:val="24"/>
        </w:rPr>
        <w:t xml:space="preserve"> </w:t>
      </w:r>
    </w:p>
    <w:p w14:paraId="41DA19AF" w14:textId="77777777" w:rsidR="006F1EE1" w:rsidRDefault="003806C1" w:rsidP="00A777F6">
      <w:pPr>
        <w:spacing w:after="0"/>
        <w:ind w:left="278" w:right="0"/>
      </w:pPr>
      <w:r>
        <w:t xml:space="preserve">Rys.1a. Płytka kierunkowa symetryczna - prowadząca- szczegół powierzchni </w:t>
      </w:r>
    </w:p>
    <w:p w14:paraId="67182C28" w14:textId="77777777" w:rsidR="006F1EE1" w:rsidRDefault="003806C1" w:rsidP="00A777F6">
      <w:pPr>
        <w:spacing w:after="0" w:line="259" w:lineRule="auto"/>
        <w:ind w:left="283" w:right="0" w:firstLine="0"/>
        <w:jc w:val="left"/>
      </w:pPr>
      <w:r>
        <w:t xml:space="preserve"> </w:t>
      </w:r>
    </w:p>
    <w:p w14:paraId="2562F5B7" w14:textId="77777777" w:rsidR="006F1EE1" w:rsidRDefault="003806C1" w:rsidP="00A777F6">
      <w:pPr>
        <w:spacing w:after="0" w:line="259" w:lineRule="auto"/>
        <w:ind w:left="278" w:right="656"/>
        <w:jc w:val="right"/>
      </w:pPr>
      <w:r>
        <w:rPr>
          <w:noProof/>
        </w:rPr>
        <w:lastRenderedPageBreak/>
        <w:drawing>
          <wp:inline distT="0" distB="0" distL="0" distR="0" wp14:anchorId="019C2962" wp14:editId="5EEC38B7">
            <wp:extent cx="5661025" cy="1582420"/>
            <wp:effectExtent l="0" t="0" r="0" b="0"/>
            <wp:docPr id="560" name="Picture 560"/>
            <wp:cNvGraphicFramePr/>
            <a:graphic xmlns:a="http://schemas.openxmlformats.org/drawingml/2006/main">
              <a:graphicData uri="http://schemas.openxmlformats.org/drawingml/2006/picture">
                <pic:pic xmlns:pic="http://schemas.openxmlformats.org/drawingml/2006/picture">
                  <pic:nvPicPr>
                    <pic:cNvPr id="560" name="Picture 560"/>
                    <pic:cNvPicPr/>
                  </pic:nvPicPr>
                  <pic:blipFill>
                    <a:blip r:embed="rId11"/>
                    <a:stretch>
                      <a:fillRect/>
                    </a:stretch>
                  </pic:blipFill>
                  <pic:spPr>
                    <a:xfrm>
                      <a:off x="0" y="0"/>
                      <a:ext cx="5661025" cy="1582420"/>
                    </a:xfrm>
                    <a:prstGeom prst="rect">
                      <a:avLst/>
                    </a:prstGeom>
                  </pic:spPr>
                </pic:pic>
              </a:graphicData>
            </a:graphic>
          </wp:inline>
        </w:drawing>
      </w:r>
      <w:r>
        <w:rPr>
          <w:sz w:val="24"/>
        </w:rPr>
        <w:t xml:space="preserve"> </w:t>
      </w:r>
      <w:r>
        <w:t>a = 37÷39mm, b = 9÷11mm, c = 27÷29mm, h=4.5÷5mm i (przy tolerancji 0.5mm) zawsze h</w:t>
      </w:r>
      <w:r>
        <w:rPr>
          <w:rFonts w:ascii="Segoe UI Symbol" w:eastAsia="Segoe UI Symbol" w:hAnsi="Segoe UI Symbol" w:cs="Segoe UI Symbol"/>
        </w:rPr>
        <w:t></w:t>
      </w:r>
      <w:r>
        <w:t xml:space="preserve">4.5mm </w:t>
      </w:r>
    </w:p>
    <w:p w14:paraId="607938A2" w14:textId="77777777" w:rsidR="006F1EE1" w:rsidRDefault="003806C1" w:rsidP="00A777F6">
      <w:pPr>
        <w:spacing w:after="0" w:line="259" w:lineRule="auto"/>
        <w:ind w:left="283" w:right="0" w:firstLine="0"/>
        <w:jc w:val="left"/>
      </w:pPr>
      <w:r>
        <w:t xml:space="preserve"> </w:t>
      </w:r>
    </w:p>
    <w:p w14:paraId="257E7FD0" w14:textId="77777777" w:rsidR="006F1EE1" w:rsidRDefault="003806C1" w:rsidP="00A777F6">
      <w:pPr>
        <w:spacing w:after="0"/>
        <w:ind w:left="278" w:right="0"/>
      </w:pPr>
      <w:r>
        <w:t xml:space="preserve">Rys 1b. Wymiary wypustek płytki prowadzącej na podstawie normy DIN 32984 </w:t>
      </w:r>
    </w:p>
    <w:p w14:paraId="00FA03B1" w14:textId="77777777" w:rsidR="006F1EE1" w:rsidRDefault="003806C1" w:rsidP="00A777F6">
      <w:pPr>
        <w:spacing w:after="0" w:line="259" w:lineRule="auto"/>
        <w:ind w:left="283" w:right="0" w:firstLine="0"/>
        <w:jc w:val="left"/>
      </w:pPr>
      <w:r>
        <w:t xml:space="preserve"> </w:t>
      </w:r>
    </w:p>
    <w:p w14:paraId="126C4876" w14:textId="77777777" w:rsidR="006F1EE1" w:rsidRDefault="003806C1" w:rsidP="00A777F6">
      <w:pPr>
        <w:spacing w:after="0" w:line="259" w:lineRule="auto"/>
        <w:ind w:left="0" w:right="823" w:firstLine="0"/>
        <w:jc w:val="right"/>
      </w:pPr>
      <w:r>
        <w:rPr>
          <w:rFonts w:ascii="Calibri" w:eastAsia="Calibri" w:hAnsi="Calibri" w:cs="Calibri"/>
          <w:noProof/>
          <w:sz w:val="22"/>
        </w:rPr>
        <mc:AlternateContent>
          <mc:Choice Requires="wpg">
            <w:drawing>
              <wp:inline distT="0" distB="0" distL="0" distR="0" wp14:anchorId="2748B374" wp14:editId="2B192875">
                <wp:extent cx="6029222" cy="1148691"/>
                <wp:effectExtent l="0" t="0" r="0" b="0"/>
                <wp:docPr id="15339" name="Group 15339"/>
                <wp:cNvGraphicFramePr/>
                <a:graphic xmlns:a="http://schemas.openxmlformats.org/drawingml/2006/main">
                  <a:graphicData uri="http://schemas.microsoft.com/office/word/2010/wordprocessingGroup">
                    <wpg:wgp>
                      <wpg:cNvGrpSpPr/>
                      <wpg:grpSpPr>
                        <a:xfrm>
                          <a:off x="0" y="0"/>
                          <a:ext cx="6029222" cy="1148691"/>
                          <a:chOff x="0" y="0"/>
                          <a:chExt cx="6029222" cy="1148691"/>
                        </a:xfrm>
                      </wpg:grpSpPr>
                      <pic:pic xmlns:pic="http://schemas.openxmlformats.org/drawingml/2006/picture">
                        <pic:nvPicPr>
                          <pic:cNvPr id="562" name="Picture 562"/>
                          <pic:cNvPicPr/>
                        </pic:nvPicPr>
                        <pic:blipFill>
                          <a:blip r:embed="rId12"/>
                          <a:stretch>
                            <a:fillRect/>
                          </a:stretch>
                        </pic:blipFill>
                        <pic:spPr>
                          <a:xfrm>
                            <a:off x="0" y="0"/>
                            <a:ext cx="1570147" cy="1148671"/>
                          </a:xfrm>
                          <a:prstGeom prst="rect">
                            <a:avLst/>
                          </a:prstGeom>
                        </pic:spPr>
                      </pic:pic>
                      <pic:pic xmlns:pic="http://schemas.openxmlformats.org/drawingml/2006/picture">
                        <pic:nvPicPr>
                          <pic:cNvPr id="564" name="Picture 564"/>
                          <pic:cNvPicPr/>
                        </pic:nvPicPr>
                        <pic:blipFill>
                          <a:blip r:embed="rId13"/>
                          <a:stretch>
                            <a:fillRect/>
                          </a:stretch>
                        </pic:blipFill>
                        <pic:spPr>
                          <a:xfrm>
                            <a:off x="1581150" y="135213"/>
                            <a:ext cx="1849021" cy="1013478"/>
                          </a:xfrm>
                          <a:prstGeom prst="rect">
                            <a:avLst/>
                          </a:prstGeom>
                        </pic:spPr>
                      </pic:pic>
                      <pic:pic xmlns:pic="http://schemas.openxmlformats.org/drawingml/2006/picture">
                        <pic:nvPicPr>
                          <pic:cNvPr id="566" name="Picture 566"/>
                          <pic:cNvPicPr/>
                        </pic:nvPicPr>
                        <pic:blipFill>
                          <a:blip r:embed="rId14"/>
                          <a:stretch>
                            <a:fillRect/>
                          </a:stretch>
                        </pic:blipFill>
                        <pic:spPr>
                          <a:xfrm>
                            <a:off x="3430905" y="62798"/>
                            <a:ext cx="2598316" cy="1078237"/>
                          </a:xfrm>
                          <a:prstGeom prst="rect">
                            <a:avLst/>
                          </a:prstGeom>
                        </pic:spPr>
                      </pic:pic>
                    </wpg:wgp>
                  </a:graphicData>
                </a:graphic>
              </wp:inline>
            </w:drawing>
          </mc:Choice>
          <mc:Fallback xmlns:a="http://schemas.openxmlformats.org/drawingml/2006/main">
            <w:pict>
              <v:group id="Group 15339" style="width:474.742pt;height:90.4481pt;mso-position-horizontal-relative:char;mso-position-vertical-relative:line" coordsize="60292,11486">
                <v:shape id="Picture 562" style="position:absolute;width:15701;height:11486;left:0;top:0;" filled="f">
                  <v:imagedata r:id="rId15"/>
                </v:shape>
                <v:shape id="Picture 564" style="position:absolute;width:18490;height:10134;left:15811;top:1352;" filled="f">
                  <v:imagedata r:id="rId16"/>
                </v:shape>
                <v:shape id="Picture 566" style="position:absolute;width:25983;height:10782;left:34309;top:627;" filled="f">
                  <v:imagedata r:id="rId17"/>
                </v:shape>
              </v:group>
            </w:pict>
          </mc:Fallback>
        </mc:AlternateContent>
      </w:r>
      <w:r>
        <w:t xml:space="preserve"> </w:t>
      </w:r>
    </w:p>
    <w:p w14:paraId="5F24A252" w14:textId="77777777" w:rsidR="006F1EE1" w:rsidRDefault="003806C1" w:rsidP="00A777F6">
      <w:pPr>
        <w:spacing w:after="0"/>
        <w:ind w:left="278" w:right="0"/>
      </w:pPr>
      <w:r>
        <w:rPr>
          <w:b/>
          <w:sz w:val="28"/>
        </w:rPr>
        <w:t>←</w:t>
      </w:r>
      <w:r>
        <w:t>chodnik (kierunek montażu) jezdnia</w:t>
      </w:r>
      <w:r>
        <w:rPr>
          <w:b/>
          <w:sz w:val="28"/>
        </w:rPr>
        <w:t>→</w:t>
      </w:r>
      <w:r>
        <w:rPr>
          <w:sz w:val="24"/>
        </w:rPr>
        <w:t xml:space="preserve"> </w:t>
      </w:r>
    </w:p>
    <w:p w14:paraId="1B7405C3" w14:textId="77777777" w:rsidR="006F1EE1" w:rsidRDefault="003806C1" w:rsidP="00A777F6">
      <w:pPr>
        <w:spacing w:after="0"/>
        <w:ind w:left="278" w:right="0"/>
      </w:pPr>
      <w:r>
        <w:t xml:space="preserve">Rys.1c. Płytka kierunkowa z wypustkami trapezoidalnymi asymetrycznymi -  (stosowane tylko na pochylniach dla wózków inwalidzkich). </w:t>
      </w:r>
    </w:p>
    <w:p w14:paraId="4D0DBD17" w14:textId="77777777" w:rsidR="006F1EE1" w:rsidRDefault="003806C1" w:rsidP="00A777F6">
      <w:pPr>
        <w:spacing w:after="0" w:line="259" w:lineRule="auto"/>
        <w:ind w:left="2097" w:right="0" w:firstLine="0"/>
        <w:jc w:val="left"/>
      </w:pPr>
      <w:r>
        <w:rPr>
          <w:rFonts w:ascii="Calibri" w:eastAsia="Calibri" w:hAnsi="Calibri" w:cs="Calibri"/>
          <w:noProof/>
          <w:sz w:val="22"/>
        </w:rPr>
        <mc:AlternateContent>
          <mc:Choice Requires="wpg">
            <w:drawing>
              <wp:inline distT="0" distB="0" distL="0" distR="0" wp14:anchorId="7F31D6A2" wp14:editId="360405A7">
                <wp:extent cx="4087749" cy="1657896"/>
                <wp:effectExtent l="0" t="0" r="0" b="0"/>
                <wp:docPr id="16636" name="Group 16636"/>
                <wp:cNvGraphicFramePr/>
                <a:graphic xmlns:a="http://schemas.openxmlformats.org/drawingml/2006/main">
                  <a:graphicData uri="http://schemas.microsoft.com/office/word/2010/wordprocessingGroup">
                    <wpg:wgp>
                      <wpg:cNvGrpSpPr/>
                      <wpg:grpSpPr>
                        <a:xfrm>
                          <a:off x="0" y="0"/>
                          <a:ext cx="4087749" cy="1657896"/>
                          <a:chOff x="0" y="0"/>
                          <a:chExt cx="4087749" cy="1657896"/>
                        </a:xfrm>
                      </wpg:grpSpPr>
                      <pic:pic xmlns:pic="http://schemas.openxmlformats.org/drawingml/2006/picture">
                        <pic:nvPicPr>
                          <pic:cNvPr id="867" name="Picture 867"/>
                          <pic:cNvPicPr/>
                        </pic:nvPicPr>
                        <pic:blipFill>
                          <a:blip r:embed="rId18"/>
                          <a:stretch>
                            <a:fillRect/>
                          </a:stretch>
                        </pic:blipFill>
                        <pic:spPr>
                          <a:xfrm>
                            <a:off x="0" y="0"/>
                            <a:ext cx="1931653" cy="1657774"/>
                          </a:xfrm>
                          <a:prstGeom prst="rect">
                            <a:avLst/>
                          </a:prstGeom>
                        </pic:spPr>
                      </pic:pic>
                      <pic:pic xmlns:pic="http://schemas.openxmlformats.org/drawingml/2006/picture">
                        <pic:nvPicPr>
                          <pic:cNvPr id="869" name="Picture 869"/>
                          <pic:cNvPicPr/>
                        </pic:nvPicPr>
                        <pic:blipFill>
                          <a:blip r:embed="rId19"/>
                          <a:stretch>
                            <a:fillRect/>
                          </a:stretch>
                        </pic:blipFill>
                        <pic:spPr>
                          <a:xfrm>
                            <a:off x="1931670" y="476069"/>
                            <a:ext cx="2156079" cy="1181827"/>
                          </a:xfrm>
                          <a:prstGeom prst="rect">
                            <a:avLst/>
                          </a:prstGeom>
                        </pic:spPr>
                      </pic:pic>
                    </wpg:wgp>
                  </a:graphicData>
                </a:graphic>
              </wp:inline>
            </w:drawing>
          </mc:Choice>
          <mc:Fallback xmlns:a="http://schemas.openxmlformats.org/drawingml/2006/main">
            <w:pict>
              <v:group id="Group 16636" style="width:321.87pt;height:130.543pt;mso-position-horizontal-relative:char;mso-position-vertical-relative:line" coordsize="40877,16578">
                <v:shape id="Picture 867" style="position:absolute;width:19316;height:16577;left:0;top:0;" filled="f">
                  <v:imagedata r:id="rId20"/>
                </v:shape>
                <v:shape id="Picture 869" style="position:absolute;width:21560;height:11818;left:19316;top:4760;" filled="f">
                  <v:imagedata r:id="rId21"/>
                </v:shape>
              </v:group>
            </w:pict>
          </mc:Fallback>
        </mc:AlternateContent>
      </w:r>
      <w:r>
        <w:t xml:space="preserve"> </w:t>
      </w:r>
    </w:p>
    <w:p w14:paraId="231BFE7D" w14:textId="77777777" w:rsidR="006F1EE1" w:rsidRDefault="003806C1" w:rsidP="00A777F6">
      <w:pPr>
        <w:spacing w:after="0" w:line="259" w:lineRule="auto"/>
        <w:ind w:left="0" w:right="0" w:firstLine="0"/>
        <w:jc w:val="left"/>
      </w:pPr>
      <w:r>
        <w:t xml:space="preserve"> </w:t>
      </w:r>
    </w:p>
    <w:p w14:paraId="03FEC0CE" w14:textId="77777777" w:rsidR="006F1EE1" w:rsidRDefault="003806C1" w:rsidP="00A777F6">
      <w:pPr>
        <w:spacing w:after="0" w:line="259" w:lineRule="auto"/>
        <w:ind w:left="0" w:right="0" w:firstLine="0"/>
        <w:jc w:val="left"/>
      </w:pPr>
      <w:r>
        <w:t xml:space="preserve"> </w:t>
      </w:r>
    </w:p>
    <w:p w14:paraId="5F374593" w14:textId="77777777" w:rsidR="006F1EE1" w:rsidRDefault="003806C1" w:rsidP="00A777F6">
      <w:pPr>
        <w:spacing w:after="0"/>
        <w:ind w:left="278" w:right="0"/>
      </w:pPr>
      <w:r>
        <w:t xml:space="preserve">Rys. 2a. Płytka ostrzegawcza (pole decyzji)– szczegół powierzchni </w:t>
      </w:r>
    </w:p>
    <w:p w14:paraId="24BEF66D" w14:textId="77777777" w:rsidR="00A40FC5" w:rsidRDefault="003806C1" w:rsidP="00A777F6">
      <w:pPr>
        <w:spacing w:after="0"/>
        <w:ind w:left="268" w:right="565" w:firstLine="645"/>
      </w:pPr>
      <w:r>
        <w:rPr>
          <w:noProof/>
        </w:rPr>
        <w:drawing>
          <wp:inline distT="0" distB="0" distL="0" distR="0" wp14:anchorId="5359BACC" wp14:editId="346009DD">
            <wp:extent cx="5764531" cy="1701800"/>
            <wp:effectExtent l="0" t="0" r="0" b="0"/>
            <wp:docPr id="871" name="Picture 871"/>
            <wp:cNvGraphicFramePr/>
            <a:graphic xmlns:a="http://schemas.openxmlformats.org/drawingml/2006/main">
              <a:graphicData uri="http://schemas.openxmlformats.org/drawingml/2006/picture">
                <pic:pic xmlns:pic="http://schemas.openxmlformats.org/drawingml/2006/picture">
                  <pic:nvPicPr>
                    <pic:cNvPr id="871" name="Picture 871"/>
                    <pic:cNvPicPr/>
                  </pic:nvPicPr>
                  <pic:blipFill>
                    <a:blip r:embed="rId22"/>
                    <a:stretch>
                      <a:fillRect/>
                    </a:stretch>
                  </pic:blipFill>
                  <pic:spPr>
                    <a:xfrm>
                      <a:off x="0" y="0"/>
                      <a:ext cx="5764531" cy="1701800"/>
                    </a:xfrm>
                    <a:prstGeom prst="rect">
                      <a:avLst/>
                    </a:prstGeom>
                  </pic:spPr>
                </pic:pic>
              </a:graphicData>
            </a:graphic>
          </wp:inline>
        </w:drawing>
      </w:r>
      <w:r>
        <w:rPr>
          <w:sz w:val="24"/>
        </w:rPr>
        <w:t xml:space="preserve"> </w:t>
      </w:r>
      <w:r>
        <w:t>a = 58-60mm, b = 20-22mm, c = 37-39mm, d = 40-42mm, h=4.5÷5mm i (przy tolerancji 0.5mm) zawsze h</w:t>
      </w:r>
      <w:r>
        <w:rPr>
          <w:rFonts w:ascii="Segoe UI Symbol" w:eastAsia="Segoe UI Symbol" w:hAnsi="Segoe UI Symbol" w:cs="Segoe UI Symbol"/>
        </w:rPr>
        <w:t></w:t>
      </w:r>
      <w:r>
        <w:t xml:space="preserve">4.5mm Rys 2b. Wymiary wypustek płytki ostrzegawczej na podstawie normy DIN 32984 </w:t>
      </w:r>
    </w:p>
    <w:p w14:paraId="6674EEB8" w14:textId="4D007024" w:rsidR="006F1EE1" w:rsidRDefault="003806C1" w:rsidP="00A40FC5">
      <w:pPr>
        <w:spacing w:after="0"/>
        <w:ind w:right="565"/>
      </w:pPr>
      <w:r>
        <w:rPr>
          <w:b/>
        </w:rPr>
        <w:t xml:space="preserve">2.3.3.2. </w:t>
      </w:r>
      <w:r>
        <w:t xml:space="preserve">Główne wymiary płyt </w:t>
      </w:r>
    </w:p>
    <w:p w14:paraId="2EF6EC46" w14:textId="77777777" w:rsidR="006F1EE1" w:rsidRDefault="003806C1" w:rsidP="00A777F6">
      <w:pPr>
        <w:spacing w:after="0" w:line="259" w:lineRule="auto"/>
        <w:ind w:left="283" w:right="0" w:firstLine="0"/>
        <w:jc w:val="left"/>
      </w:pPr>
      <w:r>
        <w:t xml:space="preserve"> </w:t>
      </w:r>
    </w:p>
    <w:p w14:paraId="51D314B1" w14:textId="77777777" w:rsidR="006F1EE1" w:rsidRDefault="003806C1" w:rsidP="00A777F6">
      <w:pPr>
        <w:spacing w:after="0"/>
        <w:ind w:left="278" w:right="0"/>
      </w:pPr>
      <w:r>
        <w:t xml:space="preserve">Tablica 1. Dopuszczalne odchyłki głównych wymiarów płytek wskaźnikowych wg PN-EN 13748 </w:t>
      </w:r>
    </w:p>
    <w:tbl>
      <w:tblPr>
        <w:tblStyle w:val="TableGrid"/>
        <w:tblW w:w="9556" w:type="dxa"/>
        <w:tblInd w:w="679" w:type="dxa"/>
        <w:tblCellMar>
          <w:top w:w="100" w:type="dxa"/>
          <w:left w:w="219" w:type="dxa"/>
          <w:right w:w="115" w:type="dxa"/>
        </w:tblCellMar>
        <w:tblLook w:val="04A0" w:firstRow="1" w:lastRow="0" w:firstColumn="1" w:lastColumn="0" w:noHBand="0" w:noVBand="1"/>
      </w:tblPr>
      <w:tblGrid>
        <w:gridCol w:w="2749"/>
        <w:gridCol w:w="1524"/>
        <w:gridCol w:w="1568"/>
        <w:gridCol w:w="1859"/>
        <w:gridCol w:w="1856"/>
      </w:tblGrid>
      <w:tr w:rsidR="006F1EE1" w14:paraId="4A7B3CEB" w14:textId="77777777">
        <w:trPr>
          <w:trHeight w:val="602"/>
        </w:trPr>
        <w:tc>
          <w:tcPr>
            <w:tcW w:w="2795" w:type="dxa"/>
            <w:tcBorders>
              <w:top w:val="single" w:sz="6" w:space="0" w:color="000000"/>
              <w:left w:val="single" w:sz="6" w:space="0" w:color="000000"/>
              <w:bottom w:val="double" w:sz="4" w:space="0" w:color="000000"/>
              <w:right w:val="single" w:sz="6" w:space="0" w:color="000000"/>
            </w:tcBorders>
          </w:tcPr>
          <w:p w14:paraId="29CDAD48" w14:textId="77777777" w:rsidR="006F1EE1" w:rsidRDefault="003806C1" w:rsidP="00A777F6">
            <w:pPr>
              <w:spacing w:after="0" w:line="259" w:lineRule="auto"/>
              <w:ind w:left="0" w:right="100" w:firstLine="0"/>
              <w:jc w:val="center"/>
            </w:pPr>
            <w:r>
              <w:lastRenderedPageBreak/>
              <w:t xml:space="preserve">Wymiary nominalne płyt [mm] </w:t>
            </w:r>
          </w:p>
        </w:tc>
        <w:tc>
          <w:tcPr>
            <w:tcW w:w="1417" w:type="dxa"/>
            <w:tcBorders>
              <w:top w:val="single" w:sz="6" w:space="0" w:color="000000"/>
              <w:left w:val="single" w:sz="6" w:space="0" w:color="000000"/>
              <w:bottom w:val="double" w:sz="4" w:space="0" w:color="000000"/>
              <w:right w:val="single" w:sz="6" w:space="0" w:color="000000"/>
            </w:tcBorders>
          </w:tcPr>
          <w:p w14:paraId="527D7AF9" w14:textId="77777777" w:rsidR="006F1EE1" w:rsidRDefault="003806C1" w:rsidP="00A777F6">
            <w:pPr>
              <w:spacing w:after="0" w:line="259" w:lineRule="auto"/>
              <w:ind w:left="0" w:right="0" w:firstLine="0"/>
              <w:jc w:val="center"/>
            </w:pPr>
            <w:r>
              <w:t xml:space="preserve">Klasa (znakowanie) </w:t>
            </w:r>
          </w:p>
        </w:tc>
        <w:tc>
          <w:tcPr>
            <w:tcW w:w="1584" w:type="dxa"/>
            <w:tcBorders>
              <w:top w:val="single" w:sz="6" w:space="0" w:color="000000"/>
              <w:left w:val="single" w:sz="6" w:space="0" w:color="000000"/>
              <w:bottom w:val="double" w:sz="4" w:space="0" w:color="000000"/>
              <w:right w:val="single" w:sz="6" w:space="0" w:color="000000"/>
            </w:tcBorders>
          </w:tcPr>
          <w:p w14:paraId="32E377CD" w14:textId="77777777" w:rsidR="006F1EE1" w:rsidRDefault="003806C1" w:rsidP="00A777F6">
            <w:pPr>
              <w:spacing w:after="0" w:line="259" w:lineRule="auto"/>
              <w:ind w:left="0" w:right="93" w:firstLine="0"/>
              <w:jc w:val="center"/>
            </w:pPr>
            <w:r>
              <w:t xml:space="preserve">Długość [mm] </w:t>
            </w:r>
          </w:p>
        </w:tc>
        <w:tc>
          <w:tcPr>
            <w:tcW w:w="1878" w:type="dxa"/>
            <w:tcBorders>
              <w:top w:val="single" w:sz="6" w:space="0" w:color="000000"/>
              <w:left w:val="single" w:sz="6" w:space="0" w:color="000000"/>
              <w:bottom w:val="double" w:sz="4" w:space="0" w:color="000000"/>
              <w:right w:val="single" w:sz="6" w:space="0" w:color="000000"/>
            </w:tcBorders>
          </w:tcPr>
          <w:p w14:paraId="5B77C90A" w14:textId="77777777" w:rsidR="006F1EE1" w:rsidRDefault="003806C1" w:rsidP="00A777F6">
            <w:pPr>
              <w:spacing w:after="0" w:line="259" w:lineRule="auto"/>
              <w:ind w:left="0" w:right="98" w:firstLine="0"/>
              <w:jc w:val="center"/>
            </w:pPr>
            <w:r>
              <w:t xml:space="preserve">Szerokość [mm] </w:t>
            </w:r>
          </w:p>
        </w:tc>
        <w:tc>
          <w:tcPr>
            <w:tcW w:w="1882" w:type="dxa"/>
            <w:tcBorders>
              <w:top w:val="single" w:sz="6" w:space="0" w:color="000000"/>
              <w:left w:val="single" w:sz="6" w:space="0" w:color="000000"/>
              <w:bottom w:val="double" w:sz="4" w:space="0" w:color="000000"/>
              <w:right w:val="single" w:sz="6" w:space="0" w:color="000000"/>
            </w:tcBorders>
          </w:tcPr>
          <w:p w14:paraId="1D686F1C" w14:textId="77777777" w:rsidR="006F1EE1" w:rsidRDefault="003806C1" w:rsidP="00A777F6">
            <w:pPr>
              <w:spacing w:after="0" w:line="259" w:lineRule="auto"/>
              <w:ind w:left="0" w:right="103" w:firstLine="0"/>
              <w:jc w:val="center"/>
            </w:pPr>
            <w:r>
              <w:t xml:space="preserve">Grubość [mm] </w:t>
            </w:r>
          </w:p>
        </w:tc>
      </w:tr>
      <w:tr w:rsidR="006F1EE1" w14:paraId="6979163E" w14:textId="77777777">
        <w:trPr>
          <w:trHeight w:val="1409"/>
        </w:trPr>
        <w:tc>
          <w:tcPr>
            <w:tcW w:w="2795" w:type="dxa"/>
            <w:tcBorders>
              <w:top w:val="double" w:sz="4" w:space="0" w:color="000000"/>
              <w:left w:val="single" w:sz="6" w:space="0" w:color="000000"/>
              <w:bottom w:val="single" w:sz="6" w:space="0" w:color="000000"/>
              <w:right w:val="single" w:sz="6" w:space="0" w:color="000000"/>
            </w:tcBorders>
          </w:tcPr>
          <w:p w14:paraId="74DCE29A" w14:textId="77777777" w:rsidR="006F1EE1" w:rsidRDefault="003806C1" w:rsidP="00A777F6">
            <w:pPr>
              <w:spacing w:after="0" w:line="259" w:lineRule="auto"/>
              <w:ind w:left="0" w:right="89" w:firstLine="0"/>
              <w:jc w:val="center"/>
            </w:pPr>
            <w:r>
              <w:t xml:space="preserve">Wymiary podstawy </w:t>
            </w:r>
          </w:p>
          <w:p w14:paraId="58EE28FA" w14:textId="77777777" w:rsidR="006F1EE1" w:rsidRDefault="003806C1" w:rsidP="00A777F6">
            <w:pPr>
              <w:spacing w:after="0" w:line="259" w:lineRule="auto"/>
              <w:ind w:left="0" w:right="94" w:firstLine="0"/>
              <w:jc w:val="center"/>
            </w:pPr>
            <w:r>
              <w:t xml:space="preserve">300 x 300 </w:t>
            </w:r>
          </w:p>
          <w:p w14:paraId="43A6E28D" w14:textId="77777777" w:rsidR="006F1EE1" w:rsidRDefault="003806C1" w:rsidP="00A777F6">
            <w:pPr>
              <w:spacing w:after="0" w:line="259" w:lineRule="auto"/>
              <w:ind w:left="0" w:right="91" w:firstLine="0"/>
              <w:jc w:val="center"/>
            </w:pPr>
            <w:r>
              <w:t xml:space="preserve">Wymiary powierzchni górnej </w:t>
            </w:r>
          </w:p>
          <w:p w14:paraId="744E0BFE" w14:textId="77777777" w:rsidR="006F1EE1" w:rsidRDefault="003806C1" w:rsidP="00A777F6">
            <w:pPr>
              <w:spacing w:after="0" w:line="259" w:lineRule="auto"/>
              <w:ind w:left="0" w:right="94" w:firstLine="0"/>
              <w:jc w:val="center"/>
            </w:pPr>
            <w:r>
              <w:t xml:space="preserve">297x297 </w:t>
            </w:r>
          </w:p>
          <w:p w14:paraId="712F0821" w14:textId="77777777" w:rsidR="006F1EE1" w:rsidRDefault="003806C1" w:rsidP="00A777F6">
            <w:pPr>
              <w:spacing w:after="0" w:line="259" w:lineRule="auto"/>
              <w:ind w:left="0" w:right="96" w:firstLine="0"/>
              <w:jc w:val="center"/>
            </w:pPr>
            <w:r>
              <w:t xml:space="preserve">Grubość (bez wypustek)80 </w:t>
            </w:r>
          </w:p>
        </w:tc>
        <w:tc>
          <w:tcPr>
            <w:tcW w:w="1417" w:type="dxa"/>
            <w:tcBorders>
              <w:top w:val="double" w:sz="4" w:space="0" w:color="000000"/>
              <w:left w:val="single" w:sz="6" w:space="0" w:color="000000"/>
              <w:bottom w:val="single" w:sz="6" w:space="0" w:color="000000"/>
              <w:right w:val="single" w:sz="6" w:space="0" w:color="000000"/>
            </w:tcBorders>
            <w:vAlign w:val="center"/>
          </w:tcPr>
          <w:p w14:paraId="3457D9BE" w14:textId="77777777" w:rsidR="006F1EE1" w:rsidRDefault="003806C1" w:rsidP="00A777F6">
            <w:pPr>
              <w:spacing w:after="0" w:line="259" w:lineRule="auto"/>
              <w:ind w:left="0" w:right="108" w:firstLine="0"/>
              <w:jc w:val="center"/>
            </w:pPr>
            <w:r>
              <w:t xml:space="preserve">3 </w:t>
            </w:r>
          </w:p>
          <w:p w14:paraId="29491C53" w14:textId="77777777" w:rsidR="006F1EE1" w:rsidRDefault="003806C1" w:rsidP="00A777F6">
            <w:pPr>
              <w:spacing w:after="0" w:line="259" w:lineRule="auto"/>
              <w:ind w:left="0" w:right="106" w:firstLine="0"/>
              <w:jc w:val="center"/>
            </w:pPr>
            <w:r>
              <w:t xml:space="preserve">(R) </w:t>
            </w:r>
          </w:p>
        </w:tc>
        <w:tc>
          <w:tcPr>
            <w:tcW w:w="1584" w:type="dxa"/>
            <w:tcBorders>
              <w:top w:val="double" w:sz="4" w:space="0" w:color="000000"/>
              <w:left w:val="single" w:sz="6" w:space="0" w:color="000000"/>
              <w:bottom w:val="single" w:sz="6" w:space="0" w:color="000000"/>
              <w:right w:val="single" w:sz="6" w:space="0" w:color="000000"/>
            </w:tcBorders>
            <w:vAlign w:val="center"/>
          </w:tcPr>
          <w:p w14:paraId="74D06EDF" w14:textId="77777777" w:rsidR="006F1EE1" w:rsidRDefault="003806C1" w:rsidP="00A777F6">
            <w:pPr>
              <w:spacing w:after="0" w:line="259" w:lineRule="auto"/>
              <w:ind w:left="0" w:right="89" w:firstLine="0"/>
              <w:jc w:val="center"/>
            </w:pPr>
            <w:r>
              <w:rPr>
                <w:rFonts w:ascii="Segoe UI Symbol" w:eastAsia="Segoe UI Symbol" w:hAnsi="Segoe UI Symbol" w:cs="Segoe UI Symbol"/>
              </w:rPr>
              <w:t></w:t>
            </w:r>
            <w:r>
              <w:t xml:space="preserve"> 1 </w:t>
            </w:r>
          </w:p>
        </w:tc>
        <w:tc>
          <w:tcPr>
            <w:tcW w:w="1878" w:type="dxa"/>
            <w:tcBorders>
              <w:top w:val="double" w:sz="4" w:space="0" w:color="000000"/>
              <w:left w:val="single" w:sz="6" w:space="0" w:color="000000"/>
              <w:bottom w:val="single" w:sz="6" w:space="0" w:color="000000"/>
              <w:right w:val="single" w:sz="6" w:space="0" w:color="000000"/>
            </w:tcBorders>
            <w:vAlign w:val="center"/>
          </w:tcPr>
          <w:p w14:paraId="7B3A4F3A" w14:textId="77777777" w:rsidR="006F1EE1" w:rsidRDefault="003806C1" w:rsidP="00A777F6">
            <w:pPr>
              <w:spacing w:after="0" w:line="259" w:lineRule="auto"/>
              <w:ind w:left="0" w:right="93" w:firstLine="0"/>
              <w:jc w:val="center"/>
            </w:pPr>
            <w:r>
              <w:rPr>
                <w:rFonts w:ascii="Segoe UI Symbol" w:eastAsia="Segoe UI Symbol" w:hAnsi="Segoe UI Symbol" w:cs="Segoe UI Symbol"/>
              </w:rPr>
              <w:t></w:t>
            </w:r>
            <w:r>
              <w:t xml:space="preserve"> 1 </w:t>
            </w:r>
          </w:p>
        </w:tc>
        <w:tc>
          <w:tcPr>
            <w:tcW w:w="1882" w:type="dxa"/>
            <w:tcBorders>
              <w:top w:val="double" w:sz="4" w:space="0" w:color="000000"/>
              <w:left w:val="single" w:sz="6" w:space="0" w:color="000000"/>
              <w:bottom w:val="single" w:sz="6" w:space="0" w:color="000000"/>
              <w:right w:val="single" w:sz="6" w:space="0" w:color="000000"/>
            </w:tcBorders>
            <w:vAlign w:val="center"/>
          </w:tcPr>
          <w:p w14:paraId="06FE6BC5" w14:textId="77777777" w:rsidR="006F1EE1" w:rsidRDefault="003806C1" w:rsidP="00A777F6">
            <w:pPr>
              <w:spacing w:after="0" w:line="259" w:lineRule="auto"/>
              <w:ind w:left="0" w:right="99" w:firstLine="0"/>
              <w:jc w:val="center"/>
            </w:pPr>
            <w:r>
              <w:rPr>
                <w:rFonts w:ascii="Segoe UI Symbol" w:eastAsia="Segoe UI Symbol" w:hAnsi="Segoe UI Symbol" w:cs="Segoe UI Symbol"/>
              </w:rPr>
              <w:t></w:t>
            </w:r>
            <w:r>
              <w:t xml:space="preserve"> 1 </w:t>
            </w:r>
          </w:p>
        </w:tc>
      </w:tr>
      <w:tr w:rsidR="006F1EE1" w14:paraId="063CC6F4" w14:textId="77777777">
        <w:trPr>
          <w:trHeight w:val="672"/>
        </w:trPr>
        <w:tc>
          <w:tcPr>
            <w:tcW w:w="9556" w:type="dxa"/>
            <w:gridSpan w:val="5"/>
            <w:tcBorders>
              <w:top w:val="single" w:sz="6" w:space="0" w:color="000000"/>
              <w:left w:val="single" w:sz="6" w:space="0" w:color="000000"/>
              <w:bottom w:val="single" w:sz="6" w:space="0" w:color="000000"/>
              <w:right w:val="single" w:sz="6" w:space="0" w:color="000000"/>
            </w:tcBorders>
          </w:tcPr>
          <w:p w14:paraId="655732C5" w14:textId="77777777" w:rsidR="006F1EE1" w:rsidRDefault="003806C1" w:rsidP="00A777F6">
            <w:pPr>
              <w:numPr>
                <w:ilvl w:val="0"/>
                <w:numId w:val="9"/>
              </w:numPr>
              <w:spacing w:after="0" w:line="259" w:lineRule="auto"/>
              <w:ind w:left="469" w:right="55" w:hanging="361"/>
              <w:jc w:val="left"/>
            </w:pPr>
            <w:r>
              <w:t xml:space="preserve">Uwaga: Tolerancje długości, szerokości i grubości zmniejszone do </w:t>
            </w:r>
            <w:r>
              <w:rPr>
                <w:rFonts w:ascii="Segoe UI Symbol" w:eastAsia="Segoe UI Symbol" w:hAnsi="Segoe UI Symbol" w:cs="Segoe UI Symbol"/>
              </w:rPr>
              <w:t></w:t>
            </w:r>
            <w:r>
              <w:t xml:space="preserve">1mm </w:t>
            </w:r>
          </w:p>
          <w:p w14:paraId="5D439F22" w14:textId="77777777" w:rsidR="006F1EE1" w:rsidRDefault="003806C1" w:rsidP="00A777F6">
            <w:pPr>
              <w:numPr>
                <w:ilvl w:val="0"/>
                <w:numId w:val="9"/>
              </w:numPr>
              <w:spacing w:after="0" w:line="259" w:lineRule="auto"/>
              <w:ind w:left="469" w:right="55" w:hanging="361"/>
              <w:jc w:val="left"/>
            </w:pPr>
            <w:r>
              <w:t xml:space="preserve">Różnica pomiędzy dwoma pomiarami długości szerokości i grubości tej samej płyty powinna być mniejsza od 2mm </w:t>
            </w:r>
          </w:p>
        </w:tc>
      </w:tr>
    </w:tbl>
    <w:p w14:paraId="64A92BD2" w14:textId="77777777" w:rsidR="006F1EE1" w:rsidRDefault="003806C1" w:rsidP="00A777F6">
      <w:pPr>
        <w:spacing w:after="0" w:line="259" w:lineRule="auto"/>
        <w:ind w:left="283" w:right="0" w:firstLine="0"/>
        <w:jc w:val="left"/>
      </w:pPr>
      <w:r>
        <w:rPr>
          <w:sz w:val="8"/>
        </w:rPr>
        <w:t xml:space="preserve"> </w:t>
      </w:r>
    </w:p>
    <w:p w14:paraId="4903056F" w14:textId="77777777" w:rsidR="006F1EE1" w:rsidRDefault="003806C1" w:rsidP="00A777F6">
      <w:pPr>
        <w:spacing w:after="0"/>
        <w:ind w:left="278" w:right="0"/>
      </w:pPr>
      <w:r>
        <w:t xml:space="preserve">Tablica 2. Maksymalne różnice między przekątnymi płytek wskaźnikowych wg PN-EN 13748 </w:t>
      </w:r>
    </w:p>
    <w:tbl>
      <w:tblPr>
        <w:tblStyle w:val="TableGrid"/>
        <w:tblW w:w="5935" w:type="dxa"/>
        <w:tblInd w:w="2490" w:type="dxa"/>
        <w:tblCellMar>
          <w:top w:w="100" w:type="dxa"/>
          <w:left w:w="142" w:type="dxa"/>
          <w:right w:w="86" w:type="dxa"/>
        </w:tblCellMar>
        <w:tblLook w:val="04A0" w:firstRow="1" w:lastRow="0" w:firstColumn="1" w:lastColumn="0" w:noHBand="0" w:noVBand="1"/>
      </w:tblPr>
      <w:tblGrid>
        <w:gridCol w:w="1877"/>
        <w:gridCol w:w="1878"/>
        <w:gridCol w:w="2180"/>
      </w:tblGrid>
      <w:tr w:rsidR="006F1EE1" w14:paraId="3BA36EA3" w14:textId="77777777">
        <w:trPr>
          <w:trHeight w:val="372"/>
        </w:trPr>
        <w:tc>
          <w:tcPr>
            <w:tcW w:w="1877" w:type="dxa"/>
            <w:tcBorders>
              <w:top w:val="single" w:sz="6" w:space="0" w:color="000000"/>
              <w:left w:val="single" w:sz="6" w:space="0" w:color="000000"/>
              <w:bottom w:val="double" w:sz="4" w:space="0" w:color="000000"/>
              <w:right w:val="single" w:sz="6" w:space="0" w:color="000000"/>
            </w:tcBorders>
          </w:tcPr>
          <w:p w14:paraId="13F44D9E" w14:textId="77777777" w:rsidR="006F1EE1" w:rsidRDefault="003806C1" w:rsidP="00A777F6">
            <w:pPr>
              <w:spacing w:after="0" w:line="259" w:lineRule="auto"/>
              <w:ind w:left="0" w:right="55" w:firstLine="0"/>
              <w:jc w:val="center"/>
            </w:pPr>
            <w:r>
              <w:t xml:space="preserve">Klasa </w:t>
            </w:r>
          </w:p>
        </w:tc>
        <w:tc>
          <w:tcPr>
            <w:tcW w:w="1878" w:type="dxa"/>
            <w:tcBorders>
              <w:top w:val="single" w:sz="6" w:space="0" w:color="000000"/>
              <w:left w:val="single" w:sz="6" w:space="0" w:color="000000"/>
              <w:bottom w:val="double" w:sz="4" w:space="0" w:color="000000"/>
              <w:right w:val="single" w:sz="6" w:space="0" w:color="000000"/>
            </w:tcBorders>
          </w:tcPr>
          <w:p w14:paraId="1E525528" w14:textId="77777777" w:rsidR="006F1EE1" w:rsidRDefault="003806C1" w:rsidP="00A777F6">
            <w:pPr>
              <w:spacing w:after="0" w:line="259" w:lineRule="auto"/>
              <w:ind w:left="0" w:right="41" w:firstLine="0"/>
              <w:jc w:val="center"/>
            </w:pPr>
            <w:r>
              <w:t xml:space="preserve">Znakowanie </w:t>
            </w:r>
          </w:p>
        </w:tc>
        <w:tc>
          <w:tcPr>
            <w:tcW w:w="2180" w:type="dxa"/>
            <w:tcBorders>
              <w:top w:val="single" w:sz="6" w:space="0" w:color="000000"/>
              <w:left w:val="single" w:sz="6" w:space="0" w:color="000000"/>
              <w:bottom w:val="double" w:sz="4" w:space="0" w:color="000000"/>
              <w:right w:val="single" w:sz="6" w:space="0" w:color="000000"/>
            </w:tcBorders>
          </w:tcPr>
          <w:p w14:paraId="5799A031" w14:textId="77777777" w:rsidR="006F1EE1" w:rsidRDefault="003806C1" w:rsidP="00A777F6">
            <w:pPr>
              <w:spacing w:after="0" w:line="259" w:lineRule="auto"/>
              <w:ind w:left="0" w:right="0" w:firstLine="0"/>
              <w:jc w:val="left"/>
            </w:pPr>
            <w:r>
              <w:t xml:space="preserve">Maksymalna różnica [mm] </w:t>
            </w:r>
          </w:p>
        </w:tc>
      </w:tr>
      <w:tr w:rsidR="006F1EE1" w14:paraId="72288563" w14:textId="77777777">
        <w:trPr>
          <w:trHeight w:val="371"/>
        </w:trPr>
        <w:tc>
          <w:tcPr>
            <w:tcW w:w="1877" w:type="dxa"/>
            <w:tcBorders>
              <w:top w:val="double" w:sz="4" w:space="0" w:color="000000"/>
              <w:left w:val="single" w:sz="6" w:space="0" w:color="000000"/>
              <w:bottom w:val="single" w:sz="6" w:space="0" w:color="000000"/>
              <w:right w:val="single" w:sz="6" w:space="0" w:color="000000"/>
            </w:tcBorders>
          </w:tcPr>
          <w:p w14:paraId="07D84034" w14:textId="77777777" w:rsidR="006F1EE1" w:rsidRDefault="003806C1" w:rsidP="00A777F6">
            <w:pPr>
              <w:spacing w:after="0" w:line="259" w:lineRule="auto"/>
              <w:ind w:left="0" w:right="60" w:firstLine="0"/>
              <w:jc w:val="center"/>
            </w:pPr>
            <w:r>
              <w:t xml:space="preserve">3 </w:t>
            </w:r>
          </w:p>
        </w:tc>
        <w:tc>
          <w:tcPr>
            <w:tcW w:w="1878" w:type="dxa"/>
            <w:tcBorders>
              <w:top w:val="double" w:sz="4" w:space="0" w:color="000000"/>
              <w:left w:val="single" w:sz="6" w:space="0" w:color="000000"/>
              <w:bottom w:val="single" w:sz="4" w:space="0" w:color="000000"/>
              <w:right w:val="single" w:sz="6" w:space="0" w:color="000000"/>
            </w:tcBorders>
          </w:tcPr>
          <w:p w14:paraId="0E23CE54" w14:textId="77777777" w:rsidR="006F1EE1" w:rsidRDefault="003806C1" w:rsidP="00A777F6">
            <w:pPr>
              <w:spacing w:after="0" w:line="259" w:lineRule="auto"/>
              <w:ind w:left="0" w:right="50" w:firstLine="0"/>
              <w:jc w:val="center"/>
            </w:pPr>
            <w:r>
              <w:t xml:space="preserve">L </w:t>
            </w:r>
          </w:p>
        </w:tc>
        <w:tc>
          <w:tcPr>
            <w:tcW w:w="2180" w:type="dxa"/>
            <w:tcBorders>
              <w:top w:val="double" w:sz="4" w:space="0" w:color="000000"/>
              <w:left w:val="single" w:sz="6" w:space="0" w:color="000000"/>
              <w:bottom w:val="single" w:sz="4" w:space="0" w:color="000000"/>
              <w:right w:val="single" w:sz="6" w:space="0" w:color="000000"/>
            </w:tcBorders>
          </w:tcPr>
          <w:p w14:paraId="0EAF3247" w14:textId="77777777" w:rsidR="006F1EE1" w:rsidRDefault="003806C1" w:rsidP="00A777F6">
            <w:pPr>
              <w:spacing w:after="0" w:line="259" w:lineRule="auto"/>
              <w:ind w:left="0" w:right="45" w:firstLine="0"/>
              <w:jc w:val="center"/>
            </w:pPr>
            <w:r>
              <w:t xml:space="preserve">2 </w:t>
            </w:r>
          </w:p>
        </w:tc>
      </w:tr>
    </w:tbl>
    <w:p w14:paraId="17921EA1" w14:textId="77777777" w:rsidR="006F1EE1" w:rsidRDefault="003806C1" w:rsidP="00A777F6">
      <w:pPr>
        <w:spacing w:after="0"/>
        <w:ind w:left="278" w:right="0"/>
      </w:pPr>
      <w:r>
        <w:rPr>
          <w:b/>
        </w:rPr>
        <w:t xml:space="preserve">2.3.3.3. </w:t>
      </w:r>
      <w:r>
        <w:t xml:space="preserve">Właściwości fizyczne i mechaniczne </w:t>
      </w:r>
    </w:p>
    <w:p w14:paraId="5BADBD1C" w14:textId="77777777" w:rsidR="006F1EE1" w:rsidRDefault="003806C1" w:rsidP="00A777F6">
      <w:pPr>
        <w:spacing w:after="0" w:line="259" w:lineRule="auto"/>
        <w:ind w:left="283" w:right="0" w:firstLine="0"/>
        <w:jc w:val="left"/>
      </w:pPr>
      <w:r>
        <w:t xml:space="preserve"> </w:t>
      </w:r>
    </w:p>
    <w:p w14:paraId="333CC4F9" w14:textId="77777777" w:rsidR="006F1EE1" w:rsidRDefault="003806C1" w:rsidP="00A777F6">
      <w:pPr>
        <w:spacing w:after="0"/>
        <w:ind w:left="1262" w:right="0" w:hanging="994"/>
      </w:pPr>
      <w:r>
        <w:t xml:space="preserve">Tablica 4. Wymagania wobec płytek wskaźnikowych, ustalone w PN-EN 13748do stosowania w warunkach kontaktu z solą odladzającą w warunkach mrozu </w:t>
      </w:r>
    </w:p>
    <w:p w14:paraId="3D5D4A37" w14:textId="77777777" w:rsidR="006F1EE1" w:rsidRDefault="003806C1" w:rsidP="00A777F6">
      <w:pPr>
        <w:spacing w:after="0" w:line="363" w:lineRule="auto"/>
        <w:ind w:left="283" w:right="10312" w:firstLine="0"/>
        <w:jc w:val="left"/>
      </w:pPr>
      <w:r>
        <w:t xml:space="preserve">  </w:t>
      </w:r>
    </w:p>
    <w:tbl>
      <w:tblPr>
        <w:tblStyle w:val="TableGrid"/>
        <w:tblW w:w="7481" w:type="dxa"/>
        <w:tblInd w:w="1719" w:type="dxa"/>
        <w:tblCellMar>
          <w:top w:w="33" w:type="dxa"/>
          <w:right w:w="72" w:type="dxa"/>
        </w:tblCellMar>
        <w:tblLook w:val="04A0" w:firstRow="1" w:lastRow="0" w:firstColumn="1" w:lastColumn="0" w:noHBand="0" w:noVBand="1"/>
      </w:tblPr>
      <w:tblGrid>
        <w:gridCol w:w="529"/>
        <w:gridCol w:w="1875"/>
        <w:gridCol w:w="300"/>
        <w:gridCol w:w="646"/>
        <w:gridCol w:w="708"/>
        <w:gridCol w:w="1455"/>
        <w:gridCol w:w="142"/>
        <w:gridCol w:w="1826"/>
      </w:tblGrid>
      <w:tr w:rsidR="006F1EE1" w14:paraId="4F6B7CBE" w14:textId="77777777">
        <w:trPr>
          <w:trHeight w:val="192"/>
        </w:trPr>
        <w:tc>
          <w:tcPr>
            <w:tcW w:w="533" w:type="dxa"/>
            <w:tcBorders>
              <w:top w:val="single" w:sz="4" w:space="0" w:color="000000"/>
              <w:left w:val="single" w:sz="4" w:space="0" w:color="000000"/>
              <w:bottom w:val="single" w:sz="4" w:space="0" w:color="000000"/>
              <w:right w:val="single" w:sz="4" w:space="0" w:color="000000"/>
            </w:tcBorders>
          </w:tcPr>
          <w:p w14:paraId="3EF4FDF1" w14:textId="77777777" w:rsidR="006F1EE1" w:rsidRDefault="003806C1" w:rsidP="00A777F6">
            <w:pPr>
              <w:spacing w:after="0" w:line="259" w:lineRule="auto"/>
              <w:ind w:left="72" w:right="0" w:firstLine="0"/>
              <w:jc w:val="center"/>
            </w:pPr>
            <w:r>
              <w:rPr>
                <w:sz w:val="16"/>
              </w:rPr>
              <w:t xml:space="preserve">1 </w:t>
            </w:r>
          </w:p>
        </w:tc>
        <w:tc>
          <w:tcPr>
            <w:tcW w:w="6948" w:type="dxa"/>
            <w:gridSpan w:val="7"/>
            <w:tcBorders>
              <w:top w:val="single" w:sz="4" w:space="0" w:color="000000"/>
              <w:left w:val="single" w:sz="4" w:space="0" w:color="000000"/>
              <w:bottom w:val="single" w:sz="4" w:space="0" w:color="000000"/>
              <w:right w:val="single" w:sz="4" w:space="0" w:color="000000"/>
            </w:tcBorders>
          </w:tcPr>
          <w:p w14:paraId="57BED7D9" w14:textId="77777777" w:rsidR="006F1EE1" w:rsidRDefault="003806C1" w:rsidP="00A777F6">
            <w:pPr>
              <w:spacing w:after="0" w:line="259" w:lineRule="auto"/>
              <w:ind w:left="110" w:right="0" w:firstLine="0"/>
              <w:jc w:val="left"/>
            </w:pPr>
            <w:r>
              <w:rPr>
                <w:sz w:val="16"/>
              </w:rPr>
              <w:t xml:space="preserve">Właściwości fizyczne i mechaniczne </w:t>
            </w:r>
          </w:p>
        </w:tc>
      </w:tr>
      <w:tr w:rsidR="006F1EE1" w14:paraId="6FD2CE3B" w14:textId="77777777">
        <w:trPr>
          <w:trHeight w:val="562"/>
        </w:trPr>
        <w:tc>
          <w:tcPr>
            <w:tcW w:w="533" w:type="dxa"/>
            <w:tcBorders>
              <w:top w:val="single" w:sz="4" w:space="0" w:color="000000"/>
              <w:left w:val="single" w:sz="4" w:space="0" w:color="000000"/>
              <w:bottom w:val="single" w:sz="4" w:space="0" w:color="000000"/>
              <w:right w:val="single" w:sz="4" w:space="0" w:color="000000"/>
            </w:tcBorders>
          </w:tcPr>
          <w:p w14:paraId="699D67DA" w14:textId="77777777" w:rsidR="006F1EE1" w:rsidRDefault="003806C1" w:rsidP="00A777F6">
            <w:pPr>
              <w:spacing w:after="0" w:line="259" w:lineRule="auto"/>
              <w:ind w:left="77" w:right="0" w:firstLine="0"/>
              <w:jc w:val="center"/>
            </w:pPr>
            <w:r>
              <w:rPr>
                <w:sz w:val="16"/>
              </w:rPr>
              <w:t xml:space="preserve">1.1 </w:t>
            </w:r>
          </w:p>
        </w:tc>
        <w:tc>
          <w:tcPr>
            <w:tcW w:w="2127" w:type="dxa"/>
            <w:gridSpan w:val="2"/>
            <w:tcBorders>
              <w:top w:val="single" w:sz="4" w:space="0" w:color="000000"/>
              <w:left w:val="single" w:sz="4" w:space="0" w:color="000000"/>
              <w:bottom w:val="single" w:sz="4" w:space="0" w:color="000000"/>
              <w:right w:val="single" w:sz="4" w:space="0" w:color="000000"/>
            </w:tcBorders>
          </w:tcPr>
          <w:p w14:paraId="56A60670" w14:textId="77777777" w:rsidR="006F1EE1" w:rsidRDefault="003806C1" w:rsidP="00A777F6">
            <w:pPr>
              <w:spacing w:after="0" w:line="259" w:lineRule="auto"/>
              <w:ind w:left="110" w:right="36" w:firstLine="0"/>
            </w:pPr>
            <w:r>
              <w:rPr>
                <w:sz w:val="16"/>
              </w:rPr>
              <w:t xml:space="preserve">Odporność na zamrażanie/ rozmrażanie z udziałem soli odladzających </w:t>
            </w:r>
          </w:p>
        </w:tc>
        <w:tc>
          <w:tcPr>
            <w:tcW w:w="653" w:type="dxa"/>
            <w:tcBorders>
              <w:top w:val="single" w:sz="4" w:space="0" w:color="000000"/>
              <w:left w:val="single" w:sz="4" w:space="0" w:color="000000"/>
              <w:bottom w:val="single" w:sz="4" w:space="0" w:color="000000"/>
              <w:right w:val="single" w:sz="4" w:space="0" w:color="000000"/>
            </w:tcBorders>
          </w:tcPr>
          <w:p w14:paraId="3A51D446" w14:textId="77777777" w:rsidR="006F1EE1" w:rsidRDefault="003806C1" w:rsidP="00A777F6">
            <w:pPr>
              <w:spacing w:after="0" w:line="259" w:lineRule="auto"/>
              <w:ind w:left="107" w:right="0" w:firstLine="0"/>
              <w:jc w:val="center"/>
            </w:pPr>
            <w:r>
              <w:rPr>
                <w:sz w:val="16"/>
              </w:rPr>
              <w:t xml:space="preserve"> </w:t>
            </w:r>
          </w:p>
          <w:p w14:paraId="7049563F" w14:textId="77777777" w:rsidR="006F1EE1" w:rsidRDefault="003806C1" w:rsidP="00A777F6">
            <w:pPr>
              <w:spacing w:after="0" w:line="259" w:lineRule="auto"/>
              <w:ind w:left="69" w:right="0" w:firstLine="0"/>
              <w:jc w:val="center"/>
            </w:pPr>
            <w:r>
              <w:rPr>
                <w:sz w:val="16"/>
              </w:rPr>
              <w:t xml:space="preserve">D </w:t>
            </w:r>
          </w:p>
        </w:tc>
        <w:tc>
          <w:tcPr>
            <w:tcW w:w="4168" w:type="dxa"/>
            <w:gridSpan w:val="4"/>
            <w:tcBorders>
              <w:top w:val="single" w:sz="4" w:space="0" w:color="000000"/>
              <w:left w:val="single" w:sz="4" w:space="0" w:color="000000"/>
              <w:bottom w:val="single" w:sz="4" w:space="0" w:color="000000"/>
              <w:right w:val="single" w:sz="4" w:space="0" w:color="000000"/>
            </w:tcBorders>
          </w:tcPr>
          <w:p w14:paraId="487EA067" w14:textId="77777777" w:rsidR="006F1EE1" w:rsidRDefault="003806C1" w:rsidP="00A777F6">
            <w:pPr>
              <w:spacing w:after="0"/>
              <w:ind w:left="110" w:right="0" w:firstLine="0"/>
            </w:pPr>
            <w:r>
              <w:rPr>
                <w:sz w:val="16"/>
              </w:rPr>
              <w:t>Ubytek masy po badaniu: wartość średnia ≤ 1,0 kg/m</w:t>
            </w:r>
            <w:r>
              <w:rPr>
                <w:sz w:val="16"/>
                <w:vertAlign w:val="superscript"/>
              </w:rPr>
              <w:t>2</w:t>
            </w:r>
            <w:r>
              <w:rPr>
                <w:sz w:val="16"/>
              </w:rPr>
              <w:t>, przy czym każdy pojedynczy wynik &lt; 1,5 kg/m</w:t>
            </w:r>
            <w:r>
              <w:rPr>
                <w:sz w:val="16"/>
                <w:vertAlign w:val="superscript"/>
              </w:rPr>
              <w:t>2</w:t>
            </w:r>
            <w:r>
              <w:rPr>
                <w:sz w:val="16"/>
              </w:rPr>
              <w:t xml:space="preserve"> </w:t>
            </w:r>
          </w:p>
          <w:p w14:paraId="3CDC7073" w14:textId="77777777" w:rsidR="006F1EE1" w:rsidRDefault="003806C1" w:rsidP="00A777F6">
            <w:pPr>
              <w:spacing w:after="0" w:line="259" w:lineRule="auto"/>
              <w:ind w:left="110" w:right="0" w:firstLine="0"/>
              <w:jc w:val="left"/>
            </w:pPr>
            <w:r>
              <w:rPr>
                <w:sz w:val="16"/>
              </w:rPr>
              <w:t xml:space="preserve"> </w:t>
            </w:r>
          </w:p>
        </w:tc>
      </w:tr>
      <w:tr w:rsidR="006F1EE1" w14:paraId="4CA711CA" w14:textId="77777777">
        <w:trPr>
          <w:trHeight w:val="821"/>
        </w:trPr>
        <w:tc>
          <w:tcPr>
            <w:tcW w:w="533" w:type="dxa"/>
            <w:tcBorders>
              <w:top w:val="single" w:sz="4" w:space="0" w:color="000000"/>
              <w:left w:val="single" w:sz="4" w:space="0" w:color="000000"/>
              <w:bottom w:val="single" w:sz="4" w:space="0" w:color="000000"/>
              <w:right w:val="single" w:sz="4" w:space="0" w:color="000000"/>
            </w:tcBorders>
          </w:tcPr>
          <w:p w14:paraId="053EA134" w14:textId="77777777" w:rsidR="006F1EE1" w:rsidRDefault="003806C1" w:rsidP="00A777F6">
            <w:pPr>
              <w:spacing w:after="0" w:line="259" w:lineRule="auto"/>
              <w:ind w:left="77" w:right="0" w:firstLine="0"/>
              <w:jc w:val="center"/>
            </w:pPr>
            <w:r>
              <w:rPr>
                <w:sz w:val="16"/>
              </w:rPr>
              <w:t xml:space="preserve">1.2 </w:t>
            </w:r>
          </w:p>
        </w:tc>
        <w:tc>
          <w:tcPr>
            <w:tcW w:w="2127" w:type="dxa"/>
            <w:gridSpan w:val="2"/>
            <w:tcBorders>
              <w:top w:val="single" w:sz="4" w:space="0" w:color="000000"/>
              <w:left w:val="single" w:sz="4" w:space="0" w:color="000000"/>
              <w:bottom w:val="single" w:sz="4" w:space="0" w:color="000000"/>
              <w:right w:val="single" w:sz="4" w:space="0" w:color="000000"/>
            </w:tcBorders>
          </w:tcPr>
          <w:p w14:paraId="4EBAED6E" w14:textId="77777777" w:rsidR="006F1EE1" w:rsidRDefault="003806C1" w:rsidP="00A777F6">
            <w:pPr>
              <w:spacing w:after="0" w:line="259" w:lineRule="auto"/>
              <w:ind w:left="110" w:right="721" w:firstLine="0"/>
              <w:jc w:val="left"/>
            </w:pPr>
            <w:r>
              <w:rPr>
                <w:sz w:val="16"/>
              </w:rPr>
              <w:t xml:space="preserve">Wytrzymałość  na zginanie/zrywanie </w:t>
            </w:r>
          </w:p>
        </w:tc>
        <w:tc>
          <w:tcPr>
            <w:tcW w:w="653" w:type="dxa"/>
            <w:tcBorders>
              <w:top w:val="single" w:sz="4" w:space="0" w:color="000000"/>
              <w:left w:val="single" w:sz="4" w:space="0" w:color="000000"/>
              <w:bottom w:val="single" w:sz="4" w:space="0" w:color="000000"/>
              <w:right w:val="single" w:sz="4" w:space="0" w:color="000000"/>
            </w:tcBorders>
          </w:tcPr>
          <w:p w14:paraId="74336EDF" w14:textId="77777777" w:rsidR="006F1EE1" w:rsidRDefault="003806C1" w:rsidP="00A777F6">
            <w:pPr>
              <w:spacing w:after="0" w:line="259" w:lineRule="auto"/>
              <w:ind w:left="107" w:right="0" w:firstLine="0"/>
              <w:jc w:val="center"/>
            </w:pPr>
            <w:r>
              <w:rPr>
                <w:sz w:val="16"/>
              </w:rPr>
              <w:t xml:space="preserve"> </w:t>
            </w:r>
          </w:p>
          <w:p w14:paraId="74316003" w14:textId="77777777" w:rsidR="006F1EE1" w:rsidRDefault="003806C1" w:rsidP="00A777F6">
            <w:pPr>
              <w:spacing w:after="0" w:line="259" w:lineRule="auto"/>
              <w:ind w:left="74" w:right="0" w:firstLine="0"/>
              <w:jc w:val="center"/>
            </w:pPr>
            <w:r>
              <w:rPr>
                <w:sz w:val="16"/>
              </w:rPr>
              <w:t xml:space="preserve">UT </w:t>
            </w:r>
          </w:p>
        </w:tc>
        <w:tc>
          <w:tcPr>
            <w:tcW w:w="4168" w:type="dxa"/>
            <w:gridSpan w:val="4"/>
            <w:tcBorders>
              <w:top w:val="single" w:sz="4" w:space="0" w:color="000000"/>
              <w:left w:val="single" w:sz="4" w:space="0" w:color="000000"/>
              <w:bottom w:val="single" w:sz="4" w:space="0" w:color="000000"/>
              <w:right w:val="single" w:sz="4" w:space="0" w:color="000000"/>
            </w:tcBorders>
          </w:tcPr>
          <w:p w14:paraId="253D4ECC" w14:textId="77777777" w:rsidR="006F1EE1" w:rsidRDefault="003806C1" w:rsidP="00A777F6">
            <w:pPr>
              <w:spacing w:after="0" w:line="240" w:lineRule="auto"/>
              <w:ind w:left="110" w:right="365" w:firstLine="0"/>
            </w:pPr>
            <w:r>
              <w:rPr>
                <w:sz w:val="16"/>
              </w:rPr>
              <w:t xml:space="preserve">Klasa          Charakterystyczna           Każdy pojedynczy wytrz.         wytrzymałość, MPa         wynik, MPa </w:t>
            </w:r>
          </w:p>
          <w:p w14:paraId="3C04BDC1" w14:textId="77777777" w:rsidR="006F1EE1" w:rsidRDefault="003806C1" w:rsidP="00A777F6">
            <w:pPr>
              <w:spacing w:after="0" w:line="259" w:lineRule="auto"/>
              <w:ind w:left="110" w:right="0" w:firstLine="0"/>
              <w:jc w:val="left"/>
            </w:pPr>
            <w:r>
              <w:rPr>
                <w:sz w:val="16"/>
              </w:rPr>
              <w:t xml:space="preserve">35.0                                4.0 </w:t>
            </w:r>
          </w:p>
          <w:p w14:paraId="1CF06032" w14:textId="77777777" w:rsidR="006F1EE1" w:rsidRDefault="003806C1" w:rsidP="00A777F6">
            <w:pPr>
              <w:spacing w:after="0" w:line="259" w:lineRule="auto"/>
              <w:ind w:left="110" w:right="0" w:firstLine="0"/>
              <w:jc w:val="left"/>
            </w:pPr>
            <w:r>
              <w:rPr>
                <w:sz w:val="16"/>
              </w:rPr>
              <w:t xml:space="preserve">EN 13748-2:2004 </w:t>
            </w:r>
          </w:p>
        </w:tc>
      </w:tr>
      <w:tr w:rsidR="006F1EE1" w14:paraId="37403FA6" w14:textId="77777777">
        <w:trPr>
          <w:trHeight w:val="235"/>
        </w:trPr>
        <w:tc>
          <w:tcPr>
            <w:tcW w:w="533" w:type="dxa"/>
            <w:tcBorders>
              <w:top w:val="single" w:sz="4" w:space="0" w:color="000000"/>
              <w:left w:val="single" w:sz="4" w:space="0" w:color="000000"/>
              <w:bottom w:val="single" w:sz="4" w:space="0" w:color="000000"/>
              <w:right w:val="single" w:sz="4" w:space="0" w:color="000000"/>
            </w:tcBorders>
          </w:tcPr>
          <w:p w14:paraId="406251FE" w14:textId="77777777" w:rsidR="006F1EE1" w:rsidRDefault="003806C1" w:rsidP="00A777F6">
            <w:pPr>
              <w:spacing w:after="0" w:line="259" w:lineRule="auto"/>
              <w:ind w:left="77" w:right="0" w:firstLine="0"/>
              <w:jc w:val="center"/>
            </w:pPr>
            <w:r>
              <w:rPr>
                <w:sz w:val="16"/>
              </w:rPr>
              <w:t xml:space="preserve">1.3 </w:t>
            </w:r>
          </w:p>
        </w:tc>
        <w:tc>
          <w:tcPr>
            <w:tcW w:w="2127" w:type="dxa"/>
            <w:gridSpan w:val="2"/>
            <w:tcBorders>
              <w:top w:val="single" w:sz="4" w:space="0" w:color="000000"/>
              <w:left w:val="single" w:sz="4" w:space="0" w:color="000000"/>
              <w:bottom w:val="single" w:sz="4" w:space="0" w:color="000000"/>
              <w:right w:val="single" w:sz="4" w:space="0" w:color="000000"/>
            </w:tcBorders>
          </w:tcPr>
          <w:p w14:paraId="16F04E6C" w14:textId="77777777" w:rsidR="006F1EE1" w:rsidRDefault="003806C1" w:rsidP="00A777F6">
            <w:pPr>
              <w:spacing w:after="0" w:line="259" w:lineRule="auto"/>
              <w:ind w:left="110" w:right="0" w:firstLine="0"/>
              <w:jc w:val="left"/>
            </w:pPr>
            <w:r>
              <w:rPr>
                <w:sz w:val="16"/>
              </w:rPr>
              <w:t xml:space="preserve">Minimalna klasa wytrzymałości </w:t>
            </w:r>
          </w:p>
        </w:tc>
        <w:tc>
          <w:tcPr>
            <w:tcW w:w="653" w:type="dxa"/>
            <w:tcBorders>
              <w:top w:val="single" w:sz="4" w:space="0" w:color="000000"/>
              <w:left w:val="single" w:sz="4" w:space="0" w:color="000000"/>
              <w:bottom w:val="single" w:sz="4" w:space="0" w:color="000000"/>
              <w:right w:val="single" w:sz="4" w:space="0" w:color="000000"/>
            </w:tcBorders>
          </w:tcPr>
          <w:p w14:paraId="1BFD5436" w14:textId="77777777" w:rsidR="006F1EE1" w:rsidRDefault="003806C1" w:rsidP="00A777F6">
            <w:pPr>
              <w:spacing w:after="0" w:line="259" w:lineRule="auto"/>
              <w:ind w:left="107" w:right="0" w:firstLine="0"/>
              <w:jc w:val="center"/>
            </w:pPr>
            <w:r>
              <w:rPr>
                <w:sz w:val="16"/>
              </w:rPr>
              <w:t xml:space="preserve"> </w:t>
            </w:r>
          </w:p>
        </w:tc>
        <w:tc>
          <w:tcPr>
            <w:tcW w:w="4168" w:type="dxa"/>
            <w:gridSpan w:val="4"/>
            <w:tcBorders>
              <w:top w:val="single" w:sz="4" w:space="0" w:color="000000"/>
              <w:left w:val="single" w:sz="4" w:space="0" w:color="000000"/>
              <w:bottom w:val="single" w:sz="4" w:space="0" w:color="000000"/>
              <w:right w:val="single" w:sz="4" w:space="0" w:color="000000"/>
            </w:tcBorders>
          </w:tcPr>
          <w:p w14:paraId="60946053" w14:textId="77777777" w:rsidR="006F1EE1" w:rsidRDefault="003806C1" w:rsidP="00A777F6">
            <w:pPr>
              <w:spacing w:after="0" w:line="259" w:lineRule="auto"/>
              <w:ind w:left="110" w:right="0" w:firstLine="0"/>
              <w:jc w:val="left"/>
            </w:pPr>
            <w:r>
              <w:rPr>
                <w:b/>
                <w:sz w:val="16"/>
              </w:rPr>
              <w:t xml:space="preserve">C 60/75 zgodnie z normą PN EN 206-1 potwierdzone badaniami </w:t>
            </w:r>
          </w:p>
        </w:tc>
      </w:tr>
      <w:tr w:rsidR="006F1EE1" w14:paraId="5E986EB0" w14:textId="77777777">
        <w:trPr>
          <w:trHeight w:val="192"/>
        </w:trPr>
        <w:tc>
          <w:tcPr>
            <w:tcW w:w="533" w:type="dxa"/>
            <w:tcBorders>
              <w:top w:val="single" w:sz="4" w:space="0" w:color="000000"/>
              <w:left w:val="single" w:sz="4" w:space="0" w:color="000000"/>
              <w:bottom w:val="single" w:sz="4" w:space="0" w:color="000000"/>
              <w:right w:val="single" w:sz="4" w:space="0" w:color="000000"/>
            </w:tcBorders>
          </w:tcPr>
          <w:p w14:paraId="36D68192" w14:textId="77777777" w:rsidR="006F1EE1" w:rsidRDefault="003806C1" w:rsidP="00A777F6">
            <w:pPr>
              <w:spacing w:after="0" w:line="259" w:lineRule="auto"/>
              <w:ind w:left="72" w:right="0" w:firstLine="0"/>
              <w:jc w:val="center"/>
            </w:pPr>
            <w:r>
              <w:rPr>
                <w:sz w:val="16"/>
              </w:rPr>
              <w:t xml:space="preserve">1.3 a </w:t>
            </w:r>
          </w:p>
        </w:tc>
        <w:tc>
          <w:tcPr>
            <w:tcW w:w="1875" w:type="dxa"/>
            <w:tcBorders>
              <w:top w:val="single" w:sz="4" w:space="0" w:color="000000"/>
              <w:left w:val="single" w:sz="4" w:space="0" w:color="000000"/>
              <w:bottom w:val="single" w:sz="4" w:space="0" w:color="000000"/>
              <w:right w:val="nil"/>
            </w:tcBorders>
          </w:tcPr>
          <w:p w14:paraId="5E3595B4" w14:textId="77777777" w:rsidR="006F1EE1" w:rsidRDefault="003806C1" w:rsidP="00A777F6">
            <w:pPr>
              <w:spacing w:after="0" w:line="259" w:lineRule="auto"/>
              <w:ind w:left="110" w:right="0" w:firstLine="0"/>
              <w:jc w:val="left"/>
            </w:pPr>
            <w:r>
              <w:rPr>
                <w:sz w:val="16"/>
              </w:rPr>
              <w:t xml:space="preserve">Klasa ekspozycji </w:t>
            </w:r>
          </w:p>
        </w:tc>
        <w:tc>
          <w:tcPr>
            <w:tcW w:w="252" w:type="dxa"/>
            <w:tcBorders>
              <w:top w:val="single" w:sz="4" w:space="0" w:color="000000"/>
              <w:left w:val="nil"/>
              <w:bottom w:val="single" w:sz="4" w:space="0" w:color="000000"/>
              <w:right w:val="single" w:sz="4" w:space="0" w:color="000000"/>
            </w:tcBorders>
          </w:tcPr>
          <w:p w14:paraId="48BD0829" w14:textId="77777777" w:rsidR="006F1EE1" w:rsidRDefault="006F1EE1" w:rsidP="00A777F6">
            <w:pPr>
              <w:spacing w:after="0" w:line="259" w:lineRule="auto"/>
              <w:ind w:left="0" w:righ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16EEEAB5" w14:textId="77777777" w:rsidR="006F1EE1" w:rsidRDefault="003806C1" w:rsidP="00A777F6">
            <w:pPr>
              <w:spacing w:after="0" w:line="259" w:lineRule="auto"/>
              <w:ind w:left="107" w:right="0" w:firstLine="0"/>
              <w:jc w:val="center"/>
            </w:pPr>
            <w:r>
              <w:rPr>
                <w:sz w:val="16"/>
              </w:rPr>
              <w:t xml:space="preserve"> </w:t>
            </w:r>
          </w:p>
        </w:tc>
        <w:tc>
          <w:tcPr>
            <w:tcW w:w="4168" w:type="dxa"/>
            <w:gridSpan w:val="4"/>
            <w:tcBorders>
              <w:top w:val="single" w:sz="4" w:space="0" w:color="000000"/>
              <w:left w:val="single" w:sz="4" w:space="0" w:color="000000"/>
              <w:bottom w:val="single" w:sz="4" w:space="0" w:color="000000"/>
              <w:right w:val="single" w:sz="4" w:space="0" w:color="000000"/>
            </w:tcBorders>
          </w:tcPr>
          <w:p w14:paraId="66AEE51D" w14:textId="77777777" w:rsidR="006F1EE1" w:rsidRDefault="003806C1" w:rsidP="00A777F6">
            <w:pPr>
              <w:spacing w:after="0" w:line="259" w:lineRule="auto"/>
              <w:ind w:left="110" w:right="0" w:firstLine="0"/>
              <w:jc w:val="left"/>
            </w:pPr>
            <w:r>
              <w:rPr>
                <w:b/>
                <w:sz w:val="16"/>
              </w:rPr>
              <w:t xml:space="preserve">XC4, XD3,  XS3, XF4, XA2 potwierdzone badaniami </w:t>
            </w:r>
          </w:p>
        </w:tc>
      </w:tr>
      <w:tr w:rsidR="006F1EE1" w14:paraId="739013F1" w14:textId="77777777">
        <w:trPr>
          <w:trHeight w:val="380"/>
        </w:trPr>
        <w:tc>
          <w:tcPr>
            <w:tcW w:w="533" w:type="dxa"/>
            <w:tcBorders>
              <w:top w:val="single" w:sz="4" w:space="0" w:color="000000"/>
              <w:left w:val="single" w:sz="4" w:space="0" w:color="000000"/>
              <w:bottom w:val="single" w:sz="4" w:space="0" w:color="000000"/>
              <w:right w:val="single" w:sz="4" w:space="0" w:color="000000"/>
            </w:tcBorders>
          </w:tcPr>
          <w:p w14:paraId="18DB3805" w14:textId="77777777" w:rsidR="006F1EE1" w:rsidRDefault="003806C1" w:rsidP="00A777F6">
            <w:pPr>
              <w:spacing w:after="0" w:line="259" w:lineRule="auto"/>
              <w:ind w:left="77" w:right="0" w:firstLine="0"/>
              <w:jc w:val="center"/>
            </w:pPr>
            <w:r>
              <w:rPr>
                <w:sz w:val="16"/>
              </w:rPr>
              <w:t xml:space="preserve">1.4 </w:t>
            </w:r>
          </w:p>
        </w:tc>
        <w:tc>
          <w:tcPr>
            <w:tcW w:w="1875" w:type="dxa"/>
            <w:tcBorders>
              <w:top w:val="single" w:sz="4" w:space="0" w:color="000000"/>
              <w:left w:val="single" w:sz="4" w:space="0" w:color="000000"/>
              <w:bottom w:val="single" w:sz="4" w:space="0" w:color="000000"/>
              <w:right w:val="nil"/>
            </w:tcBorders>
          </w:tcPr>
          <w:p w14:paraId="2D00E8BE" w14:textId="77777777" w:rsidR="006F1EE1" w:rsidRDefault="003806C1" w:rsidP="00A777F6">
            <w:pPr>
              <w:spacing w:after="0" w:line="259" w:lineRule="auto"/>
              <w:ind w:left="110" w:right="0" w:firstLine="0"/>
              <w:jc w:val="left"/>
            </w:pPr>
            <w:r>
              <w:rPr>
                <w:sz w:val="16"/>
              </w:rPr>
              <w:t xml:space="preserve">Trwałość </w:t>
            </w:r>
            <w:r>
              <w:rPr>
                <w:sz w:val="16"/>
              </w:rPr>
              <w:tab/>
              <w:t xml:space="preserve">ze </w:t>
            </w:r>
            <w:r>
              <w:rPr>
                <w:sz w:val="16"/>
              </w:rPr>
              <w:tab/>
              <w:t xml:space="preserve">względu wytrzymałość </w:t>
            </w:r>
          </w:p>
        </w:tc>
        <w:tc>
          <w:tcPr>
            <w:tcW w:w="252" w:type="dxa"/>
            <w:tcBorders>
              <w:top w:val="single" w:sz="4" w:space="0" w:color="000000"/>
              <w:left w:val="nil"/>
              <w:bottom w:val="single" w:sz="4" w:space="0" w:color="000000"/>
              <w:right w:val="single" w:sz="4" w:space="0" w:color="000000"/>
            </w:tcBorders>
          </w:tcPr>
          <w:p w14:paraId="16ED7B18" w14:textId="77777777" w:rsidR="006F1EE1" w:rsidRDefault="003806C1" w:rsidP="00A777F6">
            <w:pPr>
              <w:spacing w:after="0" w:line="259" w:lineRule="auto"/>
              <w:ind w:left="0" w:right="0" w:firstLine="0"/>
              <w:jc w:val="left"/>
            </w:pPr>
            <w:r>
              <w:rPr>
                <w:sz w:val="16"/>
              </w:rPr>
              <w:t xml:space="preserve">na </w:t>
            </w:r>
          </w:p>
        </w:tc>
        <w:tc>
          <w:tcPr>
            <w:tcW w:w="653" w:type="dxa"/>
            <w:tcBorders>
              <w:top w:val="single" w:sz="4" w:space="0" w:color="000000"/>
              <w:left w:val="single" w:sz="4" w:space="0" w:color="000000"/>
              <w:bottom w:val="single" w:sz="4" w:space="0" w:color="000000"/>
              <w:right w:val="single" w:sz="4" w:space="0" w:color="000000"/>
            </w:tcBorders>
          </w:tcPr>
          <w:p w14:paraId="2F9818CB" w14:textId="77777777" w:rsidR="006F1EE1" w:rsidRDefault="003806C1" w:rsidP="00A777F6">
            <w:pPr>
              <w:spacing w:after="0" w:line="259" w:lineRule="auto"/>
              <w:ind w:left="74" w:right="0" w:firstLine="0"/>
              <w:jc w:val="center"/>
            </w:pPr>
            <w:r>
              <w:rPr>
                <w:sz w:val="16"/>
              </w:rPr>
              <w:t xml:space="preserve">F </w:t>
            </w:r>
          </w:p>
        </w:tc>
        <w:tc>
          <w:tcPr>
            <w:tcW w:w="4168" w:type="dxa"/>
            <w:gridSpan w:val="4"/>
            <w:tcBorders>
              <w:top w:val="single" w:sz="4" w:space="0" w:color="000000"/>
              <w:left w:val="single" w:sz="4" w:space="0" w:color="000000"/>
              <w:bottom w:val="single" w:sz="4" w:space="0" w:color="000000"/>
              <w:right w:val="single" w:sz="4" w:space="0" w:color="000000"/>
            </w:tcBorders>
          </w:tcPr>
          <w:p w14:paraId="78FBEBC0" w14:textId="77777777" w:rsidR="006F1EE1" w:rsidRDefault="003806C1" w:rsidP="00A777F6">
            <w:pPr>
              <w:spacing w:after="0" w:line="259" w:lineRule="auto"/>
              <w:ind w:left="110" w:right="0" w:firstLine="0"/>
              <w:jc w:val="left"/>
            </w:pPr>
            <w:r>
              <w:rPr>
                <w:sz w:val="16"/>
              </w:rPr>
              <w:t xml:space="preserve">Płytki mają zadawalającą trwałość (wytrzymałość) jeśli spełnione są wymagania pkt-u 1.2 oraz poddawane są normalnej konserwacji </w:t>
            </w:r>
          </w:p>
        </w:tc>
      </w:tr>
      <w:tr w:rsidR="006F1EE1" w14:paraId="2D5CCFCF" w14:textId="77777777">
        <w:trPr>
          <w:trHeight w:val="192"/>
        </w:trPr>
        <w:tc>
          <w:tcPr>
            <w:tcW w:w="533" w:type="dxa"/>
            <w:vMerge w:val="restart"/>
            <w:tcBorders>
              <w:top w:val="single" w:sz="4" w:space="0" w:color="000000"/>
              <w:left w:val="single" w:sz="4" w:space="0" w:color="000000"/>
              <w:bottom w:val="single" w:sz="4" w:space="0" w:color="000000"/>
              <w:right w:val="single" w:sz="4" w:space="0" w:color="000000"/>
            </w:tcBorders>
          </w:tcPr>
          <w:p w14:paraId="7959F3AB" w14:textId="77777777" w:rsidR="006F1EE1" w:rsidRDefault="003806C1" w:rsidP="00A777F6">
            <w:pPr>
              <w:spacing w:after="0" w:line="259" w:lineRule="auto"/>
              <w:ind w:left="77" w:right="0" w:firstLine="0"/>
              <w:jc w:val="center"/>
            </w:pPr>
            <w:r>
              <w:rPr>
                <w:sz w:val="16"/>
              </w:rPr>
              <w:t xml:space="preserve">1.5 </w:t>
            </w:r>
          </w:p>
          <w:p w14:paraId="0AE5CF5A" w14:textId="77777777" w:rsidR="006F1EE1" w:rsidRDefault="003806C1" w:rsidP="00A777F6">
            <w:pPr>
              <w:spacing w:after="0" w:line="259" w:lineRule="auto"/>
              <w:ind w:left="113" w:right="0" w:firstLine="0"/>
              <w:jc w:val="center"/>
            </w:pPr>
            <w:r>
              <w:rPr>
                <w:sz w:val="16"/>
              </w:rPr>
              <w:t xml:space="preserve"> </w:t>
            </w:r>
          </w:p>
          <w:p w14:paraId="2D505649" w14:textId="77777777" w:rsidR="006F1EE1" w:rsidRDefault="003806C1" w:rsidP="00A777F6">
            <w:pPr>
              <w:spacing w:after="0" w:line="259" w:lineRule="auto"/>
              <w:ind w:left="113" w:right="0" w:firstLine="0"/>
              <w:jc w:val="center"/>
            </w:pPr>
            <w:r>
              <w:rPr>
                <w:sz w:val="16"/>
              </w:rPr>
              <w:t xml:space="preserve"> </w:t>
            </w:r>
          </w:p>
        </w:tc>
        <w:tc>
          <w:tcPr>
            <w:tcW w:w="1875" w:type="dxa"/>
            <w:vMerge w:val="restart"/>
            <w:tcBorders>
              <w:top w:val="single" w:sz="4" w:space="0" w:color="000000"/>
              <w:left w:val="single" w:sz="4" w:space="0" w:color="000000"/>
              <w:bottom w:val="single" w:sz="4" w:space="0" w:color="000000"/>
              <w:right w:val="nil"/>
            </w:tcBorders>
          </w:tcPr>
          <w:p w14:paraId="7E0AF6E6" w14:textId="77777777" w:rsidR="006F1EE1" w:rsidRDefault="003806C1" w:rsidP="00A777F6">
            <w:pPr>
              <w:spacing w:after="0" w:line="259" w:lineRule="auto"/>
              <w:ind w:left="110" w:right="0" w:firstLine="0"/>
              <w:jc w:val="left"/>
            </w:pPr>
            <w:r>
              <w:rPr>
                <w:sz w:val="16"/>
              </w:rPr>
              <w:t xml:space="preserve">Odporność na ścieranie </w:t>
            </w:r>
          </w:p>
          <w:p w14:paraId="05AEC13B" w14:textId="77777777" w:rsidR="006F1EE1" w:rsidRDefault="003806C1" w:rsidP="00A777F6">
            <w:pPr>
              <w:spacing w:after="0" w:line="259" w:lineRule="auto"/>
              <w:ind w:left="110" w:right="0" w:firstLine="0"/>
              <w:jc w:val="left"/>
            </w:pPr>
            <w:r>
              <w:rPr>
                <w:sz w:val="16"/>
              </w:rPr>
              <w:t xml:space="preserve"> </w:t>
            </w:r>
          </w:p>
          <w:p w14:paraId="1C37A8A9" w14:textId="77777777" w:rsidR="006F1EE1" w:rsidRDefault="003806C1" w:rsidP="00A777F6">
            <w:pPr>
              <w:spacing w:after="0" w:line="259" w:lineRule="auto"/>
              <w:ind w:left="110" w:right="0" w:firstLine="0"/>
              <w:jc w:val="left"/>
            </w:pPr>
            <w:r>
              <w:rPr>
                <w:sz w:val="16"/>
              </w:rPr>
              <w:t xml:space="preserve"> </w:t>
            </w:r>
          </w:p>
        </w:tc>
        <w:tc>
          <w:tcPr>
            <w:tcW w:w="252" w:type="dxa"/>
            <w:vMerge w:val="restart"/>
            <w:tcBorders>
              <w:top w:val="single" w:sz="4" w:space="0" w:color="000000"/>
              <w:left w:val="nil"/>
              <w:bottom w:val="single" w:sz="4" w:space="0" w:color="000000"/>
              <w:right w:val="single" w:sz="4" w:space="0" w:color="000000"/>
            </w:tcBorders>
          </w:tcPr>
          <w:p w14:paraId="1E4E2607" w14:textId="77777777" w:rsidR="006F1EE1" w:rsidRDefault="006F1EE1" w:rsidP="00A777F6">
            <w:pPr>
              <w:spacing w:after="0" w:line="259" w:lineRule="auto"/>
              <w:ind w:left="0" w:right="0" w:firstLine="0"/>
              <w:jc w:val="left"/>
            </w:pPr>
          </w:p>
        </w:tc>
        <w:tc>
          <w:tcPr>
            <w:tcW w:w="653" w:type="dxa"/>
            <w:vMerge w:val="restart"/>
            <w:tcBorders>
              <w:top w:val="single" w:sz="4" w:space="0" w:color="000000"/>
              <w:left w:val="single" w:sz="4" w:space="0" w:color="000000"/>
              <w:bottom w:val="single" w:sz="4" w:space="0" w:color="000000"/>
              <w:right w:val="single" w:sz="4" w:space="0" w:color="000000"/>
            </w:tcBorders>
          </w:tcPr>
          <w:p w14:paraId="37158AB9" w14:textId="77777777" w:rsidR="006F1EE1" w:rsidRDefault="003806C1" w:rsidP="00A777F6">
            <w:pPr>
              <w:spacing w:after="0" w:line="259" w:lineRule="auto"/>
              <w:ind w:left="69" w:right="0" w:firstLine="0"/>
              <w:jc w:val="center"/>
            </w:pPr>
            <w:r>
              <w:rPr>
                <w:sz w:val="16"/>
              </w:rPr>
              <w:t xml:space="preserve">I </w:t>
            </w:r>
          </w:p>
          <w:p w14:paraId="5077AD2E" w14:textId="77777777" w:rsidR="006F1EE1" w:rsidRDefault="003806C1" w:rsidP="00A777F6">
            <w:pPr>
              <w:spacing w:after="0" w:line="259" w:lineRule="auto"/>
              <w:ind w:left="110" w:right="0" w:firstLine="0"/>
              <w:jc w:val="left"/>
            </w:pPr>
            <w:r>
              <w:rPr>
                <w:sz w:val="16"/>
              </w:rPr>
              <w:t xml:space="preserve"> </w:t>
            </w:r>
          </w:p>
          <w:p w14:paraId="1A3B8C9D" w14:textId="77777777" w:rsidR="006F1EE1" w:rsidRDefault="003806C1" w:rsidP="00A777F6">
            <w:pPr>
              <w:spacing w:after="0" w:line="259" w:lineRule="auto"/>
              <w:ind w:left="107" w:right="0" w:firstLine="0"/>
              <w:jc w:val="center"/>
            </w:pPr>
            <w:r>
              <w:rPr>
                <w:sz w:val="16"/>
              </w:rPr>
              <w:t xml:space="preserve"> </w:t>
            </w:r>
          </w:p>
        </w:tc>
        <w:tc>
          <w:tcPr>
            <w:tcW w:w="710" w:type="dxa"/>
            <w:vMerge w:val="restart"/>
            <w:tcBorders>
              <w:top w:val="single" w:sz="4" w:space="0" w:color="000000"/>
              <w:left w:val="single" w:sz="4" w:space="0" w:color="000000"/>
              <w:bottom w:val="single" w:sz="4" w:space="0" w:color="000000"/>
              <w:right w:val="single" w:sz="4" w:space="0" w:color="000000"/>
            </w:tcBorders>
          </w:tcPr>
          <w:p w14:paraId="798E20C6" w14:textId="77777777" w:rsidR="006F1EE1" w:rsidRDefault="003806C1" w:rsidP="00A777F6">
            <w:pPr>
              <w:spacing w:after="0" w:line="259" w:lineRule="auto"/>
              <w:ind w:left="108" w:right="0" w:firstLine="0"/>
              <w:jc w:val="center"/>
            </w:pPr>
            <w:r>
              <w:rPr>
                <w:sz w:val="16"/>
              </w:rPr>
              <w:t xml:space="preserve"> </w:t>
            </w:r>
          </w:p>
          <w:p w14:paraId="5C8C3F8B" w14:textId="77777777" w:rsidR="006F1EE1" w:rsidRDefault="003806C1" w:rsidP="00A777F6">
            <w:pPr>
              <w:spacing w:after="0" w:line="259" w:lineRule="auto"/>
              <w:ind w:left="15" w:right="0" w:firstLine="0"/>
              <w:jc w:val="center"/>
            </w:pPr>
            <w:r>
              <w:rPr>
                <w:sz w:val="16"/>
              </w:rPr>
              <w:t xml:space="preserve">Klasa odpor- ności </w:t>
            </w:r>
          </w:p>
        </w:tc>
        <w:tc>
          <w:tcPr>
            <w:tcW w:w="3457" w:type="dxa"/>
            <w:gridSpan w:val="3"/>
            <w:tcBorders>
              <w:top w:val="single" w:sz="4" w:space="0" w:color="000000"/>
              <w:left w:val="single" w:sz="4" w:space="0" w:color="000000"/>
              <w:bottom w:val="single" w:sz="4" w:space="0" w:color="000000"/>
              <w:right w:val="single" w:sz="4" w:space="0" w:color="000000"/>
            </w:tcBorders>
          </w:tcPr>
          <w:p w14:paraId="0B6E9BD4" w14:textId="77777777" w:rsidR="006F1EE1" w:rsidRDefault="003806C1" w:rsidP="00A777F6">
            <w:pPr>
              <w:spacing w:after="0" w:line="259" w:lineRule="auto"/>
              <w:ind w:left="76" w:right="0" w:firstLine="0"/>
              <w:jc w:val="center"/>
            </w:pPr>
            <w:r>
              <w:rPr>
                <w:sz w:val="16"/>
              </w:rPr>
              <w:t xml:space="preserve">Odporność przy pomiarze na tarczy </w:t>
            </w:r>
          </w:p>
        </w:tc>
      </w:tr>
      <w:tr w:rsidR="006F1EE1" w14:paraId="555633B2" w14:textId="77777777">
        <w:trPr>
          <w:trHeight w:val="562"/>
        </w:trPr>
        <w:tc>
          <w:tcPr>
            <w:tcW w:w="0" w:type="auto"/>
            <w:vMerge/>
            <w:tcBorders>
              <w:top w:val="nil"/>
              <w:left w:val="single" w:sz="4" w:space="0" w:color="000000"/>
              <w:bottom w:val="nil"/>
              <w:right w:val="single" w:sz="4" w:space="0" w:color="000000"/>
            </w:tcBorders>
          </w:tcPr>
          <w:p w14:paraId="5C9D1017"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nil"/>
              <w:right w:val="nil"/>
            </w:tcBorders>
          </w:tcPr>
          <w:p w14:paraId="107F1EAC" w14:textId="77777777" w:rsidR="006F1EE1" w:rsidRDefault="006F1EE1" w:rsidP="00A777F6">
            <w:pPr>
              <w:spacing w:after="0" w:line="259" w:lineRule="auto"/>
              <w:ind w:left="0" w:right="0" w:firstLine="0"/>
              <w:jc w:val="left"/>
            </w:pPr>
          </w:p>
        </w:tc>
        <w:tc>
          <w:tcPr>
            <w:tcW w:w="0" w:type="auto"/>
            <w:vMerge/>
            <w:tcBorders>
              <w:top w:val="nil"/>
              <w:left w:val="nil"/>
              <w:bottom w:val="nil"/>
              <w:right w:val="single" w:sz="4" w:space="0" w:color="000000"/>
            </w:tcBorders>
          </w:tcPr>
          <w:p w14:paraId="77C85791"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nil"/>
              <w:right w:val="single" w:sz="4" w:space="0" w:color="000000"/>
            </w:tcBorders>
          </w:tcPr>
          <w:p w14:paraId="5BD44086"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8BC2F6A" w14:textId="77777777" w:rsidR="006F1EE1" w:rsidRDefault="006F1EE1" w:rsidP="00A777F6">
            <w:pPr>
              <w:spacing w:after="0" w:line="259" w:lineRule="auto"/>
              <w:ind w:left="0" w:right="0" w:firstLine="0"/>
              <w:jc w:val="left"/>
            </w:pPr>
          </w:p>
        </w:tc>
        <w:tc>
          <w:tcPr>
            <w:tcW w:w="1614" w:type="dxa"/>
            <w:gridSpan w:val="2"/>
            <w:tcBorders>
              <w:top w:val="single" w:sz="4" w:space="0" w:color="000000"/>
              <w:left w:val="single" w:sz="4" w:space="0" w:color="000000"/>
              <w:bottom w:val="single" w:sz="4" w:space="0" w:color="000000"/>
              <w:right w:val="single" w:sz="4" w:space="0" w:color="000000"/>
            </w:tcBorders>
          </w:tcPr>
          <w:p w14:paraId="6673F46F" w14:textId="77777777" w:rsidR="006F1EE1" w:rsidRDefault="003806C1" w:rsidP="00A777F6">
            <w:pPr>
              <w:spacing w:after="0" w:line="259" w:lineRule="auto"/>
              <w:ind w:left="74" w:right="0" w:firstLine="0"/>
              <w:jc w:val="center"/>
            </w:pPr>
            <w:r>
              <w:rPr>
                <w:sz w:val="16"/>
              </w:rPr>
              <w:t xml:space="preserve">szerokiej ściernej, wg </w:t>
            </w:r>
          </w:p>
          <w:p w14:paraId="09753B24" w14:textId="77777777" w:rsidR="006F1EE1" w:rsidRDefault="003806C1" w:rsidP="00A777F6">
            <w:pPr>
              <w:spacing w:after="0" w:line="259" w:lineRule="auto"/>
              <w:ind w:left="0" w:right="0" w:firstLine="0"/>
              <w:jc w:val="center"/>
            </w:pPr>
            <w:r>
              <w:rPr>
                <w:sz w:val="16"/>
              </w:rPr>
              <w:t xml:space="preserve">zał. G normy – badanie podstawowe </w:t>
            </w:r>
          </w:p>
        </w:tc>
        <w:tc>
          <w:tcPr>
            <w:tcW w:w="1844" w:type="dxa"/>
            <w:tcBorders>
              <w:top w:val="single" w:sz="4" w:space="0" w:color="000000"/>
              <w:left w:val="single" w:sz="4" w:space="0" w:color="000000"/>
              <w:bottom w:val="single" w:sz="4" w:space="0" w:color="000000"/>
              <w:right w:val="single" w:sz="4" w:space="0" w:color="000000"/>
            </w:tcBorders>
          </w:tcPr>
          <w:p w14:paraId="716A8E5F" w14:textId="77777777" w:rsidR="006F1EE1" w:rsidRDefault="003806C1" w:rsidP="00A777F6">
            <w:pPr>
              <w:spacing w:after="0" w:line="259" w:lineRule="auto"/>
              <w:ind w:left="69" w:right="0" w:firstLine="0"/>
              <w:jc w:val="center"/>
            </w:pPr>
            <w:r>
              <w:rPr>
                <w:sz w:val="16"/>
              </w:rPr>
              <w:t xml:space="preserve">Böhmego, </w:t>
            </w:r>
          </w:p>
          <w:p w14:paraId="1FE4B87E" w14:textId="77777777" w:rsidR="006F1EE1" w:rsidRDefault="003806C1" w:rsidP="00A777F6">
            <w:pPr>
              <w:spacing w:after="0" w:line="259" w:lineRule="auto"/>
              <w:ind w:left="77" w:right="0" w:firstLine="0"/>
              <w:jc w:val="center"/>
            </w:pPr>
            <w:r>
              <w:rPr>
                <w:sz w:val="16"/>
              </w:rPr>
              <w:t xml:space="preserve">wg zał. H normy – badanie </w:t>
            </w:r>
          </w:p>
          <w:p w14:paraId="2486757E" w14:textId="77777777" w:rsidR="006F1EE1" w:rsidRDefault="003806C1" w:rsidP="00A777F6">
            <w:pPr>
              <w:spacing w:after="0" w:line="259" w:lineRule="auto"/>
              <w:ind w:left="76" w:right="0" w:firstLine="0"/>
              <w:jc w:val="center"/>
            </w:pPr>
            <w:r>
              <w:rPr>
                <w:sz w:val="16"/>
              </w:rPr>
              <w:t xml:space="preserve">alternatywne </w:t>
            </w:r>
          </w:p>
        </w:tc>
      </w:tr>
      <w:tr w:rsidR="006F1EE1" w14:paraId="1ED1894C" w14:textId="77777777">
        <w:trPr>
          <w:trHeight w:val="192"/>
        </w:trPr>
        <w:tc>
          <w:tcPr>
            <w:tcW w:w="0" w:type="auto"/>
            <w:vMerge/>
            <w:tcBorders>
              <w:top w:val="nil"/>
              <w:left w:val="single" w:sz="4" w:space="0" w:color="000000"/>
              <w:bottom w:val="single" w:sz="4" w:space="0" w:color="000000"/>
              <w:right w:val="single" w:sz="4" w:space="0" w:color="000000"/>
            </w:tcBorders>
          </w:tcPr>
          <w:p w14:paraId="670A1418"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nil"/>
            </w:tcBorders>
          </w:tcPr>
          <w:p w14:paraId="08B1D428" w14:textId="77777777" w:rsidR="006F1EE1" w:rsidRDefault="006F1EE1" w:rsidP="00A777F6">
            <w:pPr>
              <w:spacing w:after="0" w:line="259" w:lineRule="auto"/>
              <w:ind w:left="0" w:right="0" w:firstLine="0"/>
              <w:jc w:val="left"/>
            </w:pPr>
          </w:p>
        </w:tc>
        <w:tc>
          <w:tcPr>
            <w:tcW w:w="0" w:type="auto"/>
            <w:vMerge/>
            <w:tcBorders>
              <w:top w:val="nil"/>
              <w:left w:val="nil"/>
              <w:bottom w:val="single" w:sz="4" w:space="0" w:color="000000"/>
              <w:right w:val="single" w:sz="4" w:space="0" w:color="000000"/>
            </w:tcBorders>
          </w:tcPr>
          <w:p w14:paraId="2924CA8A"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37AD8F8" w14:textId="77777777" w:rsidR="006F1EE1" w:rsidRDefault="006F1EE1" w:rsidP="00A777F6">
            <w:pPr>
              <w:spacing w:after="0" w:line="259" w:lineRule="auto"/>
              <w:ind w:left="0" w:right="0" w:firstLine="0"/>
              <w:jc w:val="left"/>
            </w:pPr>
          </w:p>
        </w:tc>
        <w:tc>
          <w:tcPr>
            <w:tcW w:w="710" w:type="dxa"/>
            <w:tcBorders>
              <w:top w:val="single" w:sz="4" w:space="0" w:color="000000"/>
              <w:left w:val="single" w:sz="4" w:space="0" w:color="000000"/>
              <w:bottom w:val="single" w:sz="4" w:space="0" w:color="000000"/>
              <w:right w:val="single" w:sz="4" w:space="0" w:color="000000"/>
            </w:tcBorders>
          </w:tcPr>
          <w:p w14:paraId="1AE2447D" w14:textId="77777777" w:rsidR="006F1EE1" w:rsidRDefault="003806C1" w:rsidP="00A777F6">
            <w:pPr>
              <w:spacing w:after="0" w:line="259" w:lineRule="auto"/>
              <w:ind w:left="77" w:right="0" w:firstLine="0"/>
              <w:jc w:val="center"/>
            </w:pPr>
            <w:r>
              <w:rPr>
                <w:sz w:val="16"/>
              </w:rPr>
              <w:t xml:space="preserve">4 </w:t>
            </w:r>
          </w:p>
        </w:tc>
        <w:tc>
          <w:tcPr>
            <w:tcW w:w="1614" w:type="dxa"/>
            <w:gridSpan w:val="2"/>
            <w:tcBorders>
              <w:top w:val="single" w:sz="4" w:space="0" w:color="000000"/>
              <w:left w:val="single" w:sz="4" w:space="0" w:color="000000"/>
              <w:bottom w:val="single" w:sz="4" w:space="0" w:color="000000"/>
              <w:right w:val="single" w:sz="4" w:space="0" w:color="000000"/>
            </w:tcBorders>
          </w:tcPr>
          <w:p w14:paraId="756A3132" w14:textId="77777777" w:rsidR="006F1EE1" w:rsidRDefault="003806C1" w:rsidP="00A777F6">
            <w:pPr>
              <w:spacing w:after="0" w:line="259" w:lineRule="auto"/>
              <w:ind w:left="81" w:right="0" w:firstLine="0"/>
              <w:jc w:val="center"/>
            </w:pPr>
            <w:r>
              <w:rPr>
                <w:sz w:val="16"/>
              </w:rPr>
              <w:t xml:space="preserve">≤ 18 cmᶾ/50 cm ² </w:t>
            </w:r>
          </w:p>
        </w:tc>
        <w:tc>
          <w:tcPr>
            <w:tcW w:w="1844" w:type="dxa"/>
            <w:tcBorders>
              <w:top w:val="single" w:sz="4" w:space="0" w:color="000000"/>
              <w:left w:val="single" w:sz="4" w:space="0" w:color="000000"/>
              <w:bottom w:val="single" w:sz="4" w:space="0" w:color="000000"/>
              <w:right w:val="single" w:sz="4" w:space="0" w:color="000000"/>
            </w:tcBorders>
          </w:tcPr>
          <w:p w14:paraId="05EE3770" w14:textId="77777777" w:rsidR="006F1EE1" w:rsidRDefault="003806C1" w:rsidP="00A777F6">
            <w:pPr>
              <w:spacing w:after="0" w:line="259" w:lineRule="auto"/>
              <w:ind w:left="110" w:right="0" w:firstLine="0"/>
              <w:jc w:val="left"/>
            </w:pPr>
            <w:r>
              <w:rPr>
                <w:sz w:val="16"/>
              </w:rPr>
              <w:t>≤ 18000 mm</w:t>
            </w:r>
            <w:r>
              <w:rPr>
                <w:sz w:val="16"/>
                <w:vertAlign w:val="superscript"/>
              </w:rPr>
              <w:t>3</w:t>
            </w:r>
            <w:r>
              <w:rPr>
                <w:sz w:val="16"/>
              </w:rPr>
              <w:t>/5000 mm</w:t>
            </w:r>
            <w:r>
              <w:rPr>
                <w:sz w:val="16"/>
                <w:vertAlign w:val="superscript"/>
              </w:rPr>
              <w:t>2</w:t>
            </w:r>
            <w:r>
              <w:rPr>
                <w:sz w:val="16"/>
              </w:rPr>
              <w:t xml:space="preserve"> </w:t>
            </w:r>
          </w:p>
        </w:tc>
      </w:tr>
      <w:tr w:rsidR="006F1EE1" w14:paraId="48B6613E" w14:textId="77777777">
        <w:trPr>
          <w:trHeight w:val="745"/>
        </w:trPr>
        <w:tc>
          <w:tcPr>
            <w:tcW w:w="533" w:type="dxa"/>
            <w:tcBorders>
              <w:top w:val="single" w:sz="4" w:space="0" w:color="000000"/>
              <w:left w:val="single" w:sz="4" w:space="0" w:color="000000"/>
              <w:bottom w:val="single" w:sz="4" w:space="0" w:color="000000"/>
              <w:right w:val="single" w:sz="4" w:space="0" w:color="000000"/>
            </w:tcBorders>
          </w:tcPr>
          <w:p w14:paraId="678CF8A1" w14:textId="77777777" w:rsidR="006F1EE1" w:rsidRDefault="003806C1" w:rsidP="00A777F6">
            <w:pPr>
              <w:spacing w:after="0" w:line="259" w:lineRule="auto"/>
              <w:ind w:left="77" w:right="0" w:firstLine="0"/>
              <w:jc w:val="center"/>
            </w:pPr>
            <w:r>
              <w:rPr>
                <w:sz w:val="16"/>
              </w:rPr>
              <w:t xml:space="preserve">1.6 </w:t>
            </w:r>
          </w:p>
        </w:tc>
        <w:tc>
          <w:tcPr>
            <w:tcW w:w="1875" w:type="dxa"/>
            <w:tcBorders>
              <w:top w:val="single" w:sz="4" w:space="0" w:color="000000"/>
              <w:left w:val="single" w:sz="4" w:space="0" w:color="000000"/>
              <w:bottom w:val="single" w:sz="4" w:space="0" w:color="000000"/>
              <w:right w:val="nil"/>
            </w:tcBorders>
          </w:tcPr>
          <w:p w14:paraId="262B3865" w14:textId="77777777" w:rsidR="006F1EE1" w:rsidRDefault="003806C1" w:rsidP="00A777F6">
            <w:pPr>
              <w:spacing w:after="0" w:line="259" w:lineRule="auto"/>
              <w:ind w:left="110" w:right="0" w:firstLine="0"/>
              <w:jc w:val="left"/>
            </w:pPr>
            <w:r>
              <w:rPr>
                <w:sz w:val="16"/>
              </w:rPr>
              <w:t xml:space="preserve">Odporność na poślizgnięcie </w:t>
            </w:r>
          </w:p>
        </w:tc>
        <w:tc>
          <w:tcPr>
            <w:tcW w:w="252" w:type="dxa"/>
            <w:tcBorders>
              <w:top w:val="single" w:sz="4" w:space="0" w:color="000000"/>
              <w:left w:val="nil"/>
              <w:bottom w:val="single" w:sz="4" w:space="0" w:color="000000"/>
              <w:right w:val="single" w:sz="4" w:space="0" w:color="000000"/>
            </w:tcBorders>
          </w:tcPr>
          <w:p w14:paraId="631F307D" w14:textId="77777777" w:rsidR="006F1EE1" w:rsidRDefault="006F1EE1" w:rsidP="00A777F6">
            <w:pPr>
              <w:spacing w:after="0" w:line="259" w:lineRule="auto"/>
              <w:ind w:left="0" w:righ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3E941549" w14:textId="77777777" w:rsidR="006F1EE1" w:rsidRDefault="003806C1" w:rsidP="00A777F6">
            <w:pPr>
              <w:spacing w:after="0" w:line="259" w:lineRule="auto"/>
              <w:ind w:left="69" w:right="0" w:firstLine="0"/>
              <w:jc w:val="center"/>
            </w:pPr>
            <w:r>
              <w:rPr>
                <w:sz w:val="16"/>
              </w:rPr>
              <w:t xml:space="preserve">I </w:t>
            </w:r>
          </w:p>
        </w:tc>
        <w:tc>
          <w:tcPr>
            <w:tcW w:w="4168" w:type="dxa"/>
            <w:gridSpan w:val="4"/>
            <w:tcBorders>
              <w:top w:val="single" w:sz="4" w:space="0" w:color="000000"/>
              <w:left w:val="single" w:sz="4" w:space="0" w:color="000000"/>
              <w:bottom w:val="single" w:sz="4" w:space="0" w:color="000000"/>
              <w:right w:val="single" w:sz="4" w:space="0" w:color="000000"/>
            </w:tcBorders>
          </w:tcPr>
          <w:p w14:paraId="52015E3F" w14:textId="77777777" w:rsidR="006F1EE1" w:rsidRDefault="003806C1" w:rsidP="00A777F6">
            <w:pPr>
              <w:spacing w:after="0" w:line="247" w:lineRule="auto"/>
              <w:ind w:left="110" w:right="0" w:firstLine="0"/>
            </w:pPr>
            <w:r>
              <w:rPr>
                <w:sz w:val="16"/>
              </w:rPr>
              <w:t xml:space="preserve">Powierzchnia górna wypustek płytki winna mieć fakturę antypoślizgową wysokości około 0.5mm. </w:t>
            </w:r>
          </w:p>
          <w:p w14:paraId="198970BA" w14:textId="77777777" w:rsidR="006F1EE1" w:rsidRDefault="003806C1" w:rsidP="00A777F6">
            <w:pPr>
              <w:spacing w:after="0" w:line="259" w:lineRule="auto"/>
              <w:ind w:left="110" w:right="0" w:firstLine="0"/>
            </w:pPr>
            <w:r>
              <w:rPr>
                <w:sz w:val="16"/>
              </w:rPr>
              <w:t xml:space="preserve">Klasa odporności na poślizgniecie musi być co najmniej </w:t>
            </w:r>
            <w:r>
              <w:rPr>
                <w:b/>
                <w:sz w:val="16"/>
              </w:rPr>
              <w:t>R 13 według DIN 51130potwierdzona badaniami</w:t>
            </w:r>
            <w:r>
              <w:rPr>
                <w:sz w:val="16"/>
              </w:rPr>
              <w:t xml:space="preserve"> </w:t>
            </w:r>
          </w:p>
        </w:tc>
      </w:tr>
      <w:tr w:rsidR="006F1EE1" w14:paraId="2B419967" w14:textId="77777777">
        <w:trPr>
          <w:trHeight w:val="379"/>
        </w:trPr>
        <w:tc>
          <w:tcPr>
            <w:tcW w:w="533" w:type="dxa"/>
            <w:tcBorders>
              <w:top w:val="single" w:sz="4" w:space="0" w:color="000000"/>
              <w:left w:val="single" w:sz="4" w:space="0" w:color="000000"/>
              <w:bottom w:val="single" w:sz="4" w:space="0" w:color="000000"/>
              <w:right w:val="single" w:sz="4" w:space="0" w:color="000000"/>
            </w:tcBorders>
          </w:tcPr>
          <w:p w14:paraId="17BD60EA" w14:textId="77777777" w:rsidR="006F1EE1" w:rsidRDefault="003806C1" w:rsidP="00A777F6">
            <w:pPr>
              <w:spacing w:after="0" w:line="259" w:lineRule="auto"/>
              <w:ind w:left="72" w:right="0" w:firstLine="0"/>
              <w:jc w:val="center"/>
            </w:pPr>
            <w:r>
              <w:rPr>
                <w:sz w:val="16"/>
              </w:rPr>
              <w:t xml:space="preserve">1.7 a </w:t>
            </w:r>
          </w:p>
        </w:tc>
        <w:tc>
          <w:tcPr>
            <w:tcW w:w="1875" w:type="dxa"/>
            <w:tcBorders>
              <w:top w:val="single" w:sz="4" w:space="0" w:color="000000"/>
              <w:left w:val="single" w:sz="4" w:space="0" w:color="000000"/>
              <w:bottom w:val="single" w:sz="4" w:space="0" w:color="000000"/>
              <w:right w:val="nil"/>
            </w:tcBorders>
          </w:tcPr>
          <w:p w14:paraId="573BBF3B" w14:textId="77777777" w:rsidR="006F1EE1" w:rsidRDefault="003806C1" w:rsidP="00A777F6">
            <w:pPr>
              <w:spacing w:after="0" w:line="259" w:lineRule="auto"/>
              <w:ind w:left="110" w:right="0" w:firstLine="0"/>
              <w:jc w:val="left"/>
            </w:pPr>
            <w:r>
              <w:rPr>
                <w:sz w:val="16"/>
              </w:rPr>
              <w:t xml:space="preserve">Dodatkowe wymaganie: </w:t>
            </w:r>
          </w:p>
        </w:tc>
        <w:tc>
          <w:tcPr>
            <w:tcW w:w="252" w:type="dxa"/>
            <w:tcBorders>
              <w:top w:val="single" w:sz="4" w:space="0" w:color="000000"/>
              <w:left w:val="nil"/>
              <w:bottom w:val="single" w:sz="4" w:space="0" w:color="000000"/>
              <w:right w:val="single" w:sz="4" w:space="0" w:color="000000"/>
            </w:tcBorders>
          </w:tcPr>
          <w:p w14:paraId="2A242C8D" w14:textId="77777777" w:rsidR="006F1EE1" w:rsidRDefault="006F1EE1" w:rsidP="00A777F6">
            <w:pPr>
              <w:spacing w:after="0" w:line="259" w:lineRule="auto"/>
              <w:ind w:left="0" w:righ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48CDE933" w14:textId="77777777" w:rsidR="006F1EE1" w:rsidRDefault="003806C1" w:rsidP="00A777F6">
            <w:pPr>
              <w:spacing w:after="0" w:line="259" w:lineRule="auto"/>
              <w:ind w:left="107" w:right="0" w:firstLine="0"/>
              <w:jc w:val="center"/>
            </w:pPr>
            <w:r>
              <w:rPr>
                <w:sz w:val="16"/>
              </w:rPr>
              <w:t xml:space="preserve"> </w:t>
            </w:r>
          </w:p>
        </w:tc>
        <w:tc>
          <w:tcPr>
            <w:tcW w:w="4168" w:type="dxa"/>
            <w:gridSpan w:val="4"/>
            <w:tcBorders>
              <w:top w:val="single" w:sz="4" w:space="0" w:color="000000"/>
              <w:left w:val="single" w:sz="4" w:space="0" w:color="000000"/>
              <w:bottom w:val="single" w:sz="4" w:space="0" w:color="000000"/>
              <w:right w:val="single" w:sz="4" w:space="0" w:color="000000"/>
            </w:tcBorders>
          </w:tcPr>
          <w:p w14:paraId="1E782A69" w14:textId="77777777" w:rsidR="006F1EE1" w:rsidRDefault="003806C1" w:rsidP="00A777F6">
            <w:pPr>
              <w:spacing w:after="0" w:line="259" w:lineRule="auto"/>
              <w:ind w:left="110" w:right="0" w:firstLine="0"/>
              <w:jc w:val="left"/>
            </w:pPr>
            <w:r>
              <w:rPr>
                <w:sz w:val="16"/>
              </w:rPr>
              <w:t xml:space="preserve">Certyfikat bez barier </w:t>
            </w:r>
          </w:p>
          <w:p w14:paraId="02FFD2AB" w14:textId="77777777" w:rsidR="006F1EE1" w:rsidRDefault="003806C1" w:rsidP="00A777F6">
            <w:pPr>
              <w:spacing w:after="0" w:line="259" w:lineRule="auto"/>
              <w:ind w:left="110" w:right="0" w:firstLine="0"/>
              <w:jc w:val="left"/>
            </w:pPr>
            <w:r>
              <w:rPr>
                <w:b/>
                <w:sz w:val="16"/>
              </w:rPr>
              <w:t xml:space="preserve">DIN CERTCO Barrierefrei GeprüftDIN 32984:2011-10 </w:t>
            </w:r>
          </w:p>
        </w:tc>
      </w:tr>
      <w:tr w:rsidR="006F1EE1" w14:paraId="7FCA1C8C" w14:textId="77777777">
        <w:trPr>
          <w:trHeight w:val="379"/>
        </w:trPr>
        <w:tc>
          <w:tcPr>
            <w:tcW w:w="533" w:type="dxa"/>
            <w:vMerge w:val="restart"/>
            <w:tcBorders>
              <w:top w:val="single" w:sz="4" w:space="0" w:color="000000"/>
              <w:left w:val="single" w:sz="4" w:space="0" w:color="000000"/>
              <w:bottom w:val="single" w:sz="4" w:space="0" w:color="000000"/>
              <w:right w:val="single" w:sz="4" w:space="0" w:color="000000"/>
            </w:tcBorders>
          </w:tcPr>
          <w:p w14:paraId="0EA6CF80" w14:textId="77777777" w:rsidR="006F1EE1" w:rsidRDefault="003806C1" w:rsidP="00A777F6">
            <w:pPr>
              <w:spacing w:after="0" w:line="259" w:lineRule="auto"/>
              <w:ind w:left="77" w:right="0" w:firstLine="0"/>
              <w:jc w:val="center"/>
            </w:pPr>
            <w:r>
              <w:rPr>
                <w:sz w:val="16"/>
              </w:rPr>
              <w:t xml:space="preserve">1.8 </w:t>
            </w:r>
          </w:p>
          <w:p w14:paraId="30732C21" w14:textId="77777777" w:rsidR="006F1EE1" w:rsidRDefault="003806C1" w:rsidP="00A777F6">
            <w:pPr>
              <w:spacing w:after="0" w:line="259" w:lineRule="auto"/>
              <w:ind w:left="113" w:right="0" w:firstLine="0"/>
              <w:jc w:val="center"/>
            </w:pPr>
            <w:r>
              <w:rPr>
                <w:sz w:val="16"/>
              </w:rPr>
              <w:t xml:space="preserve"> </w:t>
            </w:r>
          </w:p>
        </w:tc>
        <w:tc>
          <w:tcPr>
            <w:tcW w:w="1875" w:type="dxa"/>
            <w:vMerge w:val="restart"/>
            <w:tcBorders>
              <w:top w:val="single" w:sz="4" w:space="0" w:color="000000"/>
              <w:left w:val="single" w:sz="4" w:space="0" w:color="000000"/>
              <w:bottom w:val="single" w:sz="4" w:space="0" w:color="000000"/>
              <w:right w:val="nil"/>
            </w:tcBorders>
          </w:tcPr>
          <w:p w14:paraId="4D70C488" w14:textId="77777777" w:rsidR="006F1EE1" w:rsidRDefault="003806C1" w:rsidP="00A777F6">
            <w:pPr>
              <w:spacing w:after="0" w:line="259" w:lineRule="auto"/>
              <w:ind w:left="110" w:right="0" w:firstLine="0"/>
              <w:jc w:val="left"/>
            </w:pPr>
            <w:r>
              <w:rPr>
                <w:sz w:val="16"/>
              </w:rPr>
              <w:t xml:space="preserve">Siła niszcząca </w:t>
            </w:r>
          </w:p>
          <w:p w14:paraId="7A306760" w14:textId="77777777" w:rsidR="006F1EE1" w:rsidRDefault="003806C1" w:rsidP="00A777F6">
            <w:pPr>
              <w:spacing w:after="0" w:line="259" w:lineRule="auto"/>
              <w:ind w:left="110" w:right="0" w:firstLine="0"/>
              <w:jc w:val="left"/>
            </w:pPr>
            <w:r>
              <w:rPr>
                <w:sz w:val="16"/>
              </w:rPr>
              <w:t xml:space="preserve"> </w:t>
            </w:r>
          </w:p>
        </w:tc>
        <w:tc>
          <w:tcPr>
            <w:tcW w:w="252" w:type="dxa"/>
            <w:vMerge w:val="restart"/>
            <w:tcBorders>
              <w:top w:val="single" w:sz="4" w:space="0" w:color="000000"/>
              <w:left w:val="nil"/>
              <w:bottom w:val="single" w:sz="4" w:space="0" w:color="000000"/>
              <w:right w:val="single" w:sz="4" w:space="0" w:color="000000"/>
            </w:tcBorders>
          </w:tcPr>
          <w:p w14:paraId="2DFAC324" w14:textId="77777777" w:rsidR="006F1EE1" w:rsidRDefault="006F1EE1" w:rsidP="00A777F6">
            <w:pPr>
              <w:spacing w:after="0" w:line="259" w:lineRule="auto"/>
              <w:ind w:left="0" w:right="0" w:firstLine="0"/>
              <w:jc w:val="left"/>
            </w:pPr>
          </w:p>
        </w:tc>
        <w:tc>
          <w:tcPr>
            <w:tcW w:w="653" w:type="dxa"/>
            <w:vMerge w:val="restart"/>
            <w:tcBorders>
              <w:top w:val="single" w:sz="4" w:space="0" w:color="000000"/>
              <w:left w:val="single" w:sz="4" w:space="0" w:color="000000"/>
              <w:bottom w:val="single" w:sz="4" w:space="0" w:color="000000"/>
              <w:right w:val="single" w:sz="4" w:space="0" w:color="000000"/>
            </w:tcBorders>
          </w:tcPr>
          <w:p w14:paraId="081CF9E6" w14:textId="77777777" w:rsidR="006F1EE1" w:rsidRDefault="003806C1" w:rsidP="00A777F6">
            <w:pPr>
              <w:spacing w:after="0" w:line="259" w:lineRule="auto"/>
              <w:ind w:left="67" w:right="0" w:firstLine="0"/>
              <w:jc w:val="center"/>
            </w:pPr>
            <w:r>
              <w:rPr>
                <w:sz w:val="16"/>
              </w:rPr>
              <w:t xml:space="preserve">110 </w:t>
            </w:r>
          </w:p>
          <w:p w14:paraId="5AAB9A69" w14:textId="77777777" w:rsidR="006F1EE1" w:rsidRDefault="003806C1" w:rsidP="00A777F6">
            <w:pPr>
              <w:spacing w:after="0" w:line="259" w:lineRule="auto"/>
              <w:ind w:left="107" w:right="0" w:firstLine="0"/>
              <w:jc w:val="center"/>
            </w:pPr>
            <w:r>
              <w:rPr>
                <w:sz w:val="16"/>
              </w:rPr>
              <w:t xml:space="preserve"> </w:t>
            </w:r>
          </w:p>
        </w:tc>
        <w:tc>
          <w:tcPr>
            <w:tcW w:w="2180" w:type="dxa"/>
            <w:gridSpan w:val="2"/>
            <w:tcBorders>
              <w:top w:val="single" w:sz="4" w:space="0" w:color="000000"/>
              <w:left w:val="single" w:sz="4" w:space="0" w:color="000000"/>
              <w:bottom w:val="single" w:sz="4" w:space="0" w:color="000000"/>
              <w:right w:val="single" w:sz="4" w:space="0" w:color="000000"/>
            </w:tcBorders>
          </w:tcPr>
          <w:p w14:paraId="044F8E48" w14:textId="77777777" w:rsidR="006F1EE1" w:rsidRDefault="003806C1" w:rsidP="00A777F6">
            <w:pPr>
              <w:spacing w:after="0" w:line="259" w:lineRule="auto"/>
              <w:ind w:left="0" w:right="0" w:firstLine="0"/>
              <w:jc w:val="center"/>
            </w:pPr>
            <w:r>
              <w:rPr>
                <w:sz w:val="16"/>
              </w:rPr>
              <w:t xml:space="preserve">Charakterystyczne obciążenie niszczące [kN] </w:t>
            </w:r>
          </w:p>
        </w:tc>
        <w:tc>
          <w:tcPr>
            <w:tcW w:w="1988" w:type="dxa"/>
            <w:gridSpan w:val="2"/>
            <w:tcBorders>
              <w:top w:val="single" w:sz="4" w:space="0" w:color="000000"/>
              <w:left w:val="single" w:sz="4" w:space="0" w:color="000000"/>
              <w:bottom w:val="single" w:sz="4" w:space="0" w:color="000000"/>
              <w:right w:val="single" w:sz="4" w:space="0" w:color="000000"/>
            </w:tcBorders>
          </w:tcPr>
          <w:p w14:paraId="7B12155A" w14:textId="77777777" w:rsidR="006F1EE1" w:rsidRDefault="003806C1" w:rsidP="00A777F6">
            <w:pPr>
              <w:spacing w:after="0" w:line="259" w:lineRule="auto"/>
              <w:ind w:left="75" w:right="0" w:firstLine="0"/>
              <w:jc w:val="center"/>
            </w:pPr>
            <w:r>
              <w:rPr>
                <w:sz w:val="16"/>
              </w:rPr>
              <w:t xml:space="preserve">Minimalne obciążenie niszczące kN] </w:t>
            </w:r>
          </w:p>
        </w:tc>
      </w:tr>
      <w:tr w:rsidR="006F1EE1" w14:paraId="7A1F841A" w14:textId="77777777">
        <w:trPr>
          <w:trHeight w:val="226"/>
        </w:trPr>
        <w:tc>
          <w:tcPr>
            <w:tcW w:w="0" w:type="auto"/>
            <w:vMerge/>
            <w:tcBorders>
              <w:top w:val="nil"/>
              <w:left w:val="single" w:sz="4" w:space="0" w:color="000000"/>
              <w:bottom w:val="single" w:sz="4" w:space="0" w:color="000000"/>
              <w:right w:val="single" w:sz="4" w:space="0" w:color="000000"/>
            </w:tcBorders>
          </w:tcPr>
          <w:p w14:paraId="07B614A2"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nil"/>
            </w:tcBorders>
          </w:tcPr>
          <w:p w14:paraId="6F42425F" w14:textId="77777777" w:rsidR="006F1EE1" w:rsidRDefault="006F1EE1" w:rsidP="00A777F6">
            <w:pPr>
              <w:spacing w:after="0" w:line="259" w:lineRule="auto"/>
              <w:ind w:left="0" w:right="0" w:firstLine="0"/>
              <w:jc w:val="left"/>
            </w:pPr>
          </w:p>
        </w:tc>
        <w:tc>
          <w:tcPr>
            <w:tcW w:w="0" w:type="auto"/>
            <w:vMerge/>
            <w:tcBorders>
              <w:top w:val="nil"/>
              <w:left w:val="nil"/>
              <w:bottom w:val="single" w:sz="4" w:space="0" w:color="000000"/>
              <w:right w:val="single" w:sz="4" w:space="0" w:color="000000"/>
            </w:tcBorders>
          </w:tcPr>
          <w:p w14:paraId="5BF92734"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061D6ED" w14:textId="77777777" w:rsidR="006F1EE1" w:rsidRDefault="006F1EE1" w:rsidP="00A777F6">
            <w:pPr>
              <w:spacing w:after="0" w:line="259" w:lineRule="auto"/>
              <w:ind w:left="0" w:right="0" w:firstLine="0"/>
              <w:jc w:val="left"/>
            </w:pPr>
          </w:p>
        </w:tc>
        <w:tc>
          <w:tcPr>
            <w:tcW w:w="2180" w:type="dxa"/>
            <w:gridSpan w:val="2"/>
            <w:tcBorders>
              <w:top w:val="single" w:sz="4" w:space="0" w:color="000000"/>
              <w:left w:val="single" w:sz="4" w:space="0" w:color="000000"/>
              <w:bottom w:val="single" w:sz="4" w:space="0" w:color="000000"/>
              <w:right w:val="single" w:sz="4" w:space="0" w:color="000000"/>
            </w:tcBorders>
          </w:tcPr>
          <w:p w14:paraId="447EFE31" w14:textId="77777777" w:rsidR="006F1EE1" w:rsidRDefault="003806C1" w:rsidP="00A777F6">
            <w:pPr>
              <w:spacing w:after="0" w:line="259" w:lineRule="auto"/>
              <w:ind w:left="72" w:right="0" w:firstLine="0"/>
              <w:jc w:val="center"/>
            </w:pPr>
            <w:r>
              <w:rPr>
                <w:sz w:val="16"/>
              </w:rPr>
              <w:t xml:space="preserve">11 </w:t>
            </w:r>
          </w:p>
        </w:tc>
        <w:tc>
          <w:tcPr>
            <w:tcW w:w="1988" w:type="dxa"/>
            <w:gridSpan w:val="2"/>
            <w:tcBorders>
              <w:top w:val="single" w:sz="4" w:space="0" w:color="000000"/>
              <w:left w:val="single" w:sz="4" w:space="0" w:color="000000"/>
              <w:bottom w:val="single" w:sz="4" w:space="0" w:color="000000"/>
              <w:right w:val="single" w:sz="4" w:space="0" w:color="000000"/>
            </w:tcBorders>
          </w:tcPr>
          <w:p w14:paraId="56EA6B34" w14:textId="77777777" w:rsidR="006F1EE1" w:rsidRDefault="003806C1" w:rsidP="00A777F6">
            <w:pPr>
              <w:spacing w:after="0" w:line="259" w:lineRule="auto"/>
              <w:ind w:left="71" w:right="0" w:firstLine="0"/>
              <w:jc w:val="center"/>
            </w:pPr>
            <w:r>
              <w:rPr>
                <w:sz w:val="16"/>
              </w:rPr>
              <w:t xml:space="preserve">8,8 </w:t>
            </w:r>
          </w:p>
        </w:tc>
      </w:tr>
      <w:tr w:rsidR="006F1EE1" w14:paraId="02ABDBDD" w14:textId="77777777">
        <w:trPr>
          <w:trHeight w:val="557"/>
        </w:trPr>
        <w:tc>
          <w:tcPr>
            <w:tcW w:w="533" w:type="dxa"/>
            <w:tcBorders>
              <w:top w:val="single" w:sz="4" w:space="0" w:color="000000"/>
              <w:left w:val="single" w:sz="4" w:space="0" w:color="000000"/>
              <w:bottom w:val="single" w:sz="4" w:space="0" w:color="000000"/>
              <w:right w:val="single" w:sz="4" w:space="0" w:color="000000"/>
            </w:tcBorders>
          </w:tcPr>
          <w:p w14:paraId="261BCDF6" w14:textId="77777777" w:rsidR="006F1EE1" w:rsidRDefault="003806C1" w:rsidP="00A777F6">
            <w:pPr>
              <w:spacing w:after="0" w:line="259" w:lineRule="auto"/>
              <w:ind w:left="77" w:right="0" w:firstLine="0"/>
              <w:jc w:val="center"/>
            </w:pPr>
            <w:r>
              <w:rPr>
                <w:sz w:val="16"/>
              </w:rPr>
              <w:lastRenderedPageBreak/>
              <w:t xml:space="preserve">1.9 </w:t>
            </w:r>
          </w:p>
        </w:tc>
        <w:tc>
          <w:tcPr>
            <w:tcW w:w="2127" w:type="dxa"/>
            <w:gridSpan w:val="2"/>
            <w:tcBorders>
              <w:top w:val="single" w:sz="4" w:space="0" w:color="000000"/>
              <w:left w:val="single" w:sz="4" w:space="0" w:color="000000"/>
              <w:bottom w:val="single" w:sz="4" w:space="0" w:color="000000"/>
              <w:right w:val="single" w:sz="4" w:space="0" w:color="000000"/>
            </w:tcBorders>
          </w:tcPr>
          <w:p w14:paraId="13B91B3B" w14:textId="77777777" w:rsidR="006F1EE1" w:rsidRDefault="003806C1" w:rsidP="00A777F6">
            <w:pPr>
              <w:spacing w:after="0" w:line="259" w:lineRule="auto"/>
              <w:ind w:left="110" w:right="0" w:firstLine="0"/>
              <w:jc w:val="left"/>
            </w:pPr>
            <w:r>
              <w:rPr>
                <w:sz w:val="16"/>
              </w:rPr>
              <w:t xml:space="preserve">Zabarwienie </w:t>
            </w:r>
          </w:p>
        </w:tc>
        <w:tc>
          <w:tcPr>
            <w:tcW w:w="653" w:type="dxa"/>
            <w:tcBorders>
              <w:top w:val="single" w:sz="4" w:space="0" w:color="000000"/>
              <w:left w:val="single" w:sz="4" w:space="0" w:color="000000"/>
              <w:bottom w:val="single" w:sz="4" w:space="0" w:color="000000"/>
              <w:right w:val="single" w:sz="4" w:space="0" w:color="000000"/>
            </w:tcBorders>
          </w:tcPr>
          <w:p w14:paraId="3F565723" w14:textId="77777777" w:rsidR="006F1EE1" w:rsidRDefault="003806C1" w:rsidP="00A777F6">
            <w:pPr>
              <w:spacing w:after="0" w:line="259" w:lineRule="auto"/>
              <w:ind w:left="107" w:right="0" w:firstLine="0"/>
              <w:jc w:val="center"/>
            </w:pPr>
            <w:r>
              <w:rPr>
                <w:sz w:val="16"/>
              </w:rPr>
              <w:t xml:space="preserve"> </w:t>
            </w:r>
          </w:p>
        </w:tc>
        <w:tc>
          <w:tcPr>
            <w:tcW w:w="4168" w:type="dxa"/>
            <w:gridSpan w:val="4"/>
            <w:tcBorders>
              <w:top w:val="single" w:sz="4" w:space="0" w:color="000000"/>
              <w:left w:val="single" w:sz="4" w:space="0" w:color="000000"/>
              <w:bottom w:val="single" w:sz="4" w:space="0" w:color="000000"/>
              <w:right w:val="single" w:sz="4" w:space="0" w:color="000000"/>
            </w:tcBorders>
          </w:tcPr>
          <w:p w14:paraId="6E59B619" w14:textId="77777777" w:rsidR="006F1EE1" w:rsidRDefault="003806C1" w:rsidP="00A777F6">
            <w:pPr>
              <w:spacing w:after="0" w:line="259" w:lineRule="auto"/>
              <w:ind w:left="110" w:right="38" w:firstLine="0"/>
              <w:jc w:val="left"/>
            </w:pPr>
            <w:r>
              <w:rPr>
                <w:sz w:val="16"/>
              </w:rPr>
              <w:t xml:space="preserve">Różnice w jednolitości zabarwienia, spowodowane nieuniknionymi zmianami właściwości surowców lub warunków dojrzewania betonu, nie są uważane za istotne. </w:t>
            </w:r>
          </w:p>
        </w:tc>
      </w:tr>
    </w:tbl>
    <w:p w14:paraId="161E6DA7" w14:textId="77777777" w:rsidR="006F1EE1" w:rsidRDefault="003806C1" w:rsidP="00A777F6">
      <w:pPr>
        <w:spacing w:after="0" w:line="259" w:lineRule="auto"/>
        <w:ind w:left="283" w:right="0" w:firstLine="0"/>
        <w:jc w:val="left"/>
      </w:pPr>
      <w:r>
        <w:rPr>
          <w:b/>
          <w:sz w:val="8"/>
        </w:rPr>
        <w:t xml:space="preserve"> </w:t>
      </w:r>
    </w:p>
    <w:p w14:paraId="28615446" w14:textId="77777777" w:rsidR="006F1EE1" w:rsidRDefault="003806C1" w:rsidP="00A777F6">
      <w:pPr>
        <w:pStyle w:val="Nagwek1"/>
        <w:spacing w:after="0"/>
        <w:ind w:left="278"/>
      </w:pPr>
      <w:r>
        <w:t xml:space="preserve">Ponadto   na płytki wskaźnikowe producent winien zapewnić minimum 10 letnią gwarancję na właściwości mechaniczne przy typowym zastosowaniu i utrzymaniu na peronach i przejściach dla pieszych </w:t>
      </w:r>
    </w:p>
    <w:p w14:paraId="38EAB92D" w14:textId="77777777" w:rsidR="006F1EE1" w:rsidRDefault="003806C1" w:rsidP="00A777F6">
      <w:pPr>
        <w:spacing w:after="0" w:line="259" w:lineRule="auto"/>
        <w:ind w:left="283" w:right="0" w:firstLine="0"/>
        <w:jc w:val="left"/>
      </w:pPr>
      <w:r>
        <w:t xml:space="preserve"> </w:t>
      </w:r>
    </w:p>
    <w:p w14:paraId="074DDFB1" w14:textId="58603033" w:rsidR="006F1EE1" w:rsidRDefault="003806C1" w:rsidP="00A777F6">
      <w:pPr>
        <w:spacing w:after="0" w:line="259" w:lineRule="auto"/>
        <w:ind w:left="278" w:right="-10"/>
      </w:pPr>
      <w:r>
        <w:t>Ponieważ norma PN-EN 13748 – Betonowe płyty brukowe – w zasadzie nie uwzględnia płyt brukowych o dodatkowych cechach</w:t>
      </w:r>
      <w:r w:rsidR="00024648">
        <w:t xml:space="preserve"> </w:t>
      </w:r>
      <w:r>
        <w:t>umożliwiających rozpoznawalność ich dotykowo lub wzrokowo producent może przedstawić deklarację zgodności ich z odpowiednim normami</w:t>
      </w:r>
      <w:r w:rsidR="00024648">
        <w:t xml:space="preserve"> </w:t>
      </w:r>
      <w:r>
        <w:t xml:space="preserve">DIN. Płytki nie mogą mieć jednak właściwości fizycznych i mechanicznych gorszych niż podane w tablicy 4 na podstawie kryteriów normy PNEN 13748. </w:t>
      </w:r>
    </w:p>
    <w:p w14:paraId="518B4C23" w14:textId="77777777" w:rsidR="006F1EE1" w:rsidRDefault="003806C1" w:rsidP="00A777F6">
      <w:pPr>
        <w:spacing w:after="0" w:line="259" w:lineRule="auto"/>
        <w:ind w:left="994" w:right="0" w:firstLine="0"/>
        <w:jc w:val="left"/>
      </w:pPr>
      <w:r>
        <w:t xml:space="preserve"> </w:t>
      </w:r>
    </w:p>
    <w:p w14:paraId="67F4B573" w14:textId="77777777" w:rsidR="006F1EE1" w:rsidRDefault="003806C1" w:rsidP="00A777F6">
      <w:pPr>
        <w:spacing w:after="0"/>
        <w:ind w:left="278" w:right="0"/>
      </w:pPr>
      <w:r>
        <w:rPr>
          <w:b/>
        </w:rPr>
        <w:t xml:space="preserve">2.3.3.4. </w:t>
      </w:r>
      <w:r>
        <w:t xml:space="preserve">Aspekty wizualne </w:t>
      </w:r>
    </w:p>
    <w:p w14:paraId="31E1FBB5" w14:textId="77777777" w:rsidR="006F1EE1" w:rsidRDefault="003806C1" w:rsidP="00A777F6">
      <w:pPr>
        <w:spacing w:after="0"/>
        <w:ind w:left="278" w:right="0"/>
      </w:pPr>
      <w:r>
        <w:t xml:space="preserve"> Górna powierzchnia płytek wskaźnikowych oceniana zgodnie z załącznikiem J normy PN-EN 13748 nie powinna wykazywać wad, takich jak rysy lub odpryski. Faktura winna być zgodna z fakturą zatwierdzonych próbek płyt. </w:t>
      </w:r>
    </w:p>
    <w:p w14:paraId="45821D0E" w14:textId="77777777" w:rsidR="006F1EE1" w:rsidRDefault="003806C1" w:rsidP="00A777F6">
      <w:pPr>
        <w:spacing w:after="0"/>
        <w:ind w:left="278" w:right="0"/>
      </w:pPr>
      <w:r>
        <w:rPr>
          <w:b/>
        </w:rPr>
        <w:t xml:space="preserve">2.3.3.5. </w:t>
      </w:r>
      <w:r>
        <w:t xml:space="preserve">Składowanie </w:t>
      </w:r>
    </w:p>
    <w:p w14:paraId="2BA174CF" w14:textId="77777777" w:rsidR="006F1EE1" w:rsidRDefault="003806C1" w:rsidP="00A777F6">
      <w:pPr>
        <w:spacing w:after="0"/>
        <w:ind w:left="278" w:right="0"/>
      </w:pPr>
      <w:r>
        <w:t xml:space="preserve"> Płyty wskaźnikowe powinny być dostarczane na budowę na paletach drewnianych zamocowane przez producenta tak, aby uniemożliwić przesuw i możliwość uszkodzenia podczas transportu i składowania. </w:t>
      </w:r>
    </w:p>
    <w:p w14:paraId="6C0AF10E" w14:textId="77777777" w:rsidR="006F1EE1" w:rsidRDefault="003806C1" w:rsidP="00A777F6">
      <w:pPr>
        <w:pStyle w:val="Nagwek2"/>
        <w:spacing w:after="0"/>
        <w:ind w:left="278"/>
      </w:pPr>
      <w:r>
        <w:t xml:space="preserve">2.4. Materiały na podsypkę cementowo-piaskową </w:t>
      </w:r>
    </w:p>
    <w:p w14:paraId="7ACE8757" w14:textId="77777777" w:rsidR="006F1EE1" w:rsidRDefault="003806C1" w:rsidP="00A777F6">
      <w:pPr>
        <w:spacing w:after="0"/>
        <w:ind w:left="268" w:right="0" w:firstLine="706"/>
      </w:pPr>
      <w:r>
        <w:t xml:space="preserve">Cement na podsypkę cementowo-piaskową powinien być cementem portlandzkim klasy „32,5”, odpowiadający wymaganiom PN-EN 197-1.  </w:t>
      </w:r>
    </w:p>
    <w:p w14:paraId="602B0C1D" w14:textId="77777777" w:rsidR="006F1EE1" w:rsidRDefault="003806C1" w:rsidP="00A777F6">
      <w:pPr>
        <w:spacing w:after="0"/>
        <w:ind w:left="268" w:right="0" w:firstLine="706"/>
      </w:pPr>
      <w:r>
        <w:t>Piasek naturalny 0/2mm (do podsypki i spoinowania) winien spełniać następujące wymagania normy PN-EN 13043 (uziarnienie - GF 85, zawartość pyłów - F3, nasiąkliwość – WA</w:t>
      </w:r>
      <w:r>
        <w:rPr>
          <w:vertAlign w:val="subscript"/>
        </w:rPr>
        <w:t>24</w:t>
      </w:r>
      <w:r>
        <w:t xml:space="preserve">1).  </w:t>
      </w:r>
    </w:p>
    <w:p w14:paraId="6E7CA9F2" w14:textId="77777777" w:rsidR="006F1EE1" w:rsidRDefault="003806C1" w:rsidP="00A777F6">
      <w:pPr>
        <w:spacing w:after="0"/>
        <w:ind w:left="999" w:right="0"/>
      </w:pPr>
      <w:r>
        <w:t>Woda powinna być zgodna z wymaganiami PN-EN 1008. Bez badań laboratoryjnych można stosować wodociągową wodę pitną. Podsypka winna osiągnąć wytrzymałość R</w:t>
      </w:r>
      <w:r>
        <w:rPr>
          <w:vertAlign w:val="subscript"/>
        </w:rPr>
        <w:t>28</w:t>
      </w:r>
      <w:r>
        <w:t xml:space="preserve">≥14MPa.  </w:t>
      </w:r>
    </w:p>
    <w:p w14:paraId="3F909AF5" w14:textId="77777777" w:rsidR="006F1EE1" w:rsidRDefault="003806C1" w:rsidP="00A777F6">
      <w:pPr>
        <w:pStyle w:val="Nagwek1"/>
        <w:tabs>
          <w:tab w:val="center" w:pos="352"/>
          <w:tab w:val="center" w:pos="1037"/>
        </w:tabs>
        <w:spacing w:after="0"/>
        <w:ind w:left="0" w:firstLine="0"/>
      </w:pPr>
      <w:r>
        <w:rPr>
          <w:rFonts w:ascii="Calibri" w:eastAsia="Calibri" w:hAnsi="Calibri" w:cs="Calibri"/>
          <w:b w:val="0"/>
          <w:sz w:val="22"/>
        </w:rPr>
        <w:tab/>
      </w:r>
      <w:r>
        <w:t xml:space="preserve">3. </w:t>
      </w:r>
      <w:r>
        <w:tab/>
        <w:t xml:space="preserve">SPRZĘT </w:t>
      </w:r>
    </w:p>
    <w:p w14:paraId="29956E2A" w14:textId="77777777" w:rsidR="006F1EE1" w:rsidRDefault="003806C1" w:rsidP="00A777F6">
      <w:pPr>
        <w:spacing w:after="0" w:line="259" w:lineRule="auto"/>
        <w:ind w:left="278" w:right="0"/>
        <w:jc w:val="left"/>
      </w:pPr>
      <w:r>
        <w:rPr>
          <w:b/>
        </w:rPr>
        <w:t xml:space="preserve">3.1. Ogólne wymagania dotyczące sprzętu </w:t>
      </w:r>
    </w:p>
    <w:p w14:paraId="64B00DD5" w14:textId="77777777" w:rsidR="006F1EE1" w:rsidRDefault="003806C1" w:rsidP="00A777F6">
      <w:pPr>
        <w:tabs>
          <w:tab w:val="center" w:pos="283"/>
          <w:tab w:val="center" w:pos="4414"/>
        </w:tabs>
        <w:spacing w:after="0"/>
        <w:ind w:left="0" w:right="0" w:firstLine="0"/>
        <w:jc w:val="left"/>
      </w:pPr>
      <w:r>
        <w:rPr>
          <w:rFonts w:ascii="Calibri" w:eastAsia="Calibri" w:hAnsi="Calibri" w:cs="Calibri"/>
          <w:sz w:val="22"/>
        </w:rPr>
        <w:tab/>
      </w:r>
      <w:r>
        <w:rPr>
          <w:b/>
        </w:rPr>
        <w:t xml:space="preserve"> </w:t>
      </w:r>
      <w:r>
        <w:rPr>
          <w:b/>
        </w:rPr>
        <w:tab/>
      </w:r>
      <w:r>
        <w:t xml:space="preserve">Ogólne wymagania dotyczące sprzętu podano w ST D-M-00.00.00 „Wymagania ogólne” pkt 3. </w:t>
      </w:r>
    </w:p>
    <w:p w14:paraId="510F96A5" w14:textId="77777777" w:rsidR="006F1EE1" w:rsidRDefault="003806C1" w:rsidP="00A777F6">
      <w:pPr>
        <w:pStyle w:val="Nagwek2"/>
        <w:spacing w:after="0"/>
        <w:ind w:left="278"/>
      </w:pPr>
      <w:r>
        <w:t xml:space="preserve">3.2. Sprzęt  </w:t>
      </w:r>
    </w:p>
    <w:p w14:paraId="5E1311DB" w14:textId="77777777" w:rsidR="006F1EE1" w:rsidRDefault="003806C1" w:rsidP="00A777F6">
      <w:pPr>
        <w:spacing w:after="0"/>
        <w:ind w:left="278" w:right="0"/>
      </w:pPr>
      <w:r>
        <w:rPr>
          <w:b/>
        </w:rPr>
        <w:t xml:space="preserve"> </w:t>
      </w:r>
      <w:r>
        <w:t xml:space="preserve">Wykonawca przystępujący do wykonania nawierzchni płytek wskaźnikowych powinien wykazać się możliwością korzystania z następującego sprzętu: </w:t>
      </w:r>
    </w:p>
    <w:p w14:paraId="62D35285" w14:textId="77777777" w:rsidR="00997744" w:rsidRDefault="00997744" w:rsidP="00A777F6">
      <w:pPr>
        <w:spacing w:after="0"/>
        <w:ind w:left="1278" w:right="0" w:firstLine="0"/>
      </w:pPr>
      <w:r>
        <w:t xml:space="preserve">- </w:t>
      </w:r>
      <w:r w:rsidR="003806C1">
        <w:t>koparko-ładowarek z osprzętem do przewozu materiału wewnątrz placu budowy</w:t>
      </w:r>
    </w:p>
    <w:p w14:paraId="1CA0D734" w14:textId="4961C571" w:rsidR="006F1EE1" w:rsidRDefault="00997744" w:rsidP="00A777F6">
      <w:pPr>
        <w:spacing w:after="0"/>
        <w:ind w:left="1278" w:right="0" w:firstLine="0"/>
      </w:pPr>
      <w:r>
        <w:t>-</w:t>
      </w:r>
      <w:r w:rsidR="003806C1">
        <w:t xml:space="preserve"> </w:t>
      </w:r>
      <w:r w:rsidR="003806C1">
        <w:tab/>
        <w:t xml:space="preserve">zagęszczarek do podsypki </w:t>
      </w:r>
    </w:p>
    <w:p w14:paraId="616C94CB" w14:textId="46E05D1D" w:rsidR="006F1EE1" w:rsidRDefault="00997744" w:rsidP="00A777F6">
      <w:pPr>
        <w:spacing w:after="0"/>
        <w:ind w:left="1278" w:right="0" w:firstLine="0"/>
      </w:pPr>
      <w:r>
        <w:t xml:space="preserve">- </w:t>
      </w:r>
      <w:r w:rsidR="003806C1">
        <w:t xml:space="preserve">ubijaków ręcznych do ubijania płytek, </w:t>
      </w:r>
    </w:p>
    <w:p w14:paraId="1D9524B6" w14:textId="2860EBF1" w:rsidR="006F1EE1" w:rsidRDefault="00997744" w:rsidP="00A777F6">
      <w:pPr>
        <w:spacing w:after="0"/>
        <w:ind w:left="1278" w:right="0" w:firstLine="0"/>
      </w:pPr>
      <w:r>
        <w:t xml:space="preserve">- </w:t>
      </w:r>
      <w:r w:rsidR="003806C1">
        <w:t xml:space="preserve">narzędzi brukarskich </w:t>
      </w:r>
    </w:p>
    <w:p w14:paraId="7DAE2258" w14:textId="29483E31" w:rsidR="006F1EE1" w:rsidRDefault="00997744" w:rsidP="00A777F6">
      <w:pPr>
        <w:spacing w:after="0"/>
        <w:ind w:left="1278" w:right="0" w:firstLine="0"/>
      </w:pPr>
      <w:r>
        <w:t xml:space="preserve">- </w:t>
      </w:r>
      <w:r w:rsidR="003806C1">
        <w:t xml:space="preserve">pił mechanicznych do cięcia płyt </w:t>
      </w:r>
    </w:p>
    <w:p w14:paraId="1C688E12" w14:textId="6D2C9AB4" w:rsidR="006F1EE1" w:rsidRDefault="00997744" w:rsidP="00A777F6">
      <w:pPr>
        <w:spacing w:after="0"/>
        <w:ind w:left="1278" w:right="0" w:firstLine="0"/>
      </w:pPr>
      <w:r>
        <w:t xml:space="preserve">- </w:t>
      </w:r>
      <w:r w:rsidR="003806C1">
        <w:t>innego jeśli Wykonawca uzna,</w:t>
      </w:r>
      <w:r>
        <w:t xml:space="preserve"> </w:t>
      </w:r>
      <w:r w:rsidR="003806C1">
        <w:t xml:space="preserve">że jest niezbędny. </w:t>
      </w:r>
    </w:p>
    <w:p w14:paraId="721F0501" w14:textId="77777777" w:rsidR="006F1EE1" w:rsidRDefault="003806C1" w:rsidP="00A777F6">
      <w:pPr>
        <w:pStyle w:val="Nagwek1"/>
        <w:tabs>
          <w:tab w:val="center" w:pos="352"/>
          <w:tab w:val="center" w:pos="1224"/>
        </w:tabs>
        <w:spacing w:after="0"/>
        <w:ind w:left="0" w:firstLine="0"/>
      </w:pPr>
      <w:r>
        <w:rPr>
          <w:rFonts w:ascii="Calibri" w:eastAsia="Calibri" w:hAnsi="Calibri" w:cs="Calibri"/>
          <w:b w:val="0"/>
          <w:sz w:val="22"/>
        </w:rPr>
        <w:tab/>
      </w:r>
      <w:r>
        <w:t xml:space="preserve">4. </w:t>
      </w:r>
      <w:r>
        <w:tab/>
        <w:t xml:space="preserve">TRANSPORT </w:t>
      </w:r>
    </w:p>
    <w:p w14:paraId="2B0FE79C" w14:textId="77777777" w:rsidR="006F1EE1" w:rsidRDefault="003806C1" w:rsidP="00A777F6">
      <w:pPr>
        <w:spacing w:after="0" w:line="259" w:lineRule="auto"/>
        <w:ind w:left="278" w:right="0"/>
        <w:jc w:val="left"/>
      </w:pPr>
      <w:r>
        <w:rPr>
          <w:b/>
        </w:rPr>
        <w:t xml:space="preserve">4.1. Ogólne wymagania dotyczące transportu </w:t>
      </w:r>
    </w:p>
    <w:p w14:paraId="1C35030C" w14:textId="77777777" w:rsidR="006F1EE1" w:rsidRDefault="003806C1" w:rsidP="00A777F6">
      <w:pPr>
        <w:tabs>
          <w:tab w:val="center" w:pos="283"/>
          <w:tab w:val="center" w:pos="4086"/>
        </w:tabs>
        <w:spacing w:after="0"/>
        <w:ind w:left="0" w:right="0" w:firstLine="0"/>
        <w:jc w:val="left"/>
      </w:pPr>
      <w:r>
        <w:rPr>
          <w:rFonts w:ascii="Calibri" w:eastAsia="Calibri" w:hAnsi="Calibri" w:cs="Calibri"/>
          <w:sz w:val="22"/>
        </w:rPr>
        <w:tab/>
      </w:r>
      <w:r>
        <w:t xml:space="preserve"> </w:t>
      </w:r>
      <w:r>
        <w:tab/>
        <w:t xml:space="preserve">Ogólne wymagania dotyczące transportu podano w ST D-M-00.00.00 „Wymagania ogólne” pkt 4. </w:t>
      </w:r>
    </w:p>
    <w:p w14:paraId="38C29FC1" w14:textId="77777777" w:rsidR="006F1EE1" w:rsidRDefault="003806C1" w:rsidP="00A777F6">
      <w:pPr>
        <w:pStyle w:val="Nagwek2"/>
        <w:spacing w:after="0"/>
        <w:ind w:left="278"/>
      </w:pPr>
      <w:r>
        <w:t xml:space="preserve">4.2. Transport płytek </w:t>
      </w:r>
    </w:p>
    <w:p w14:paraId="1D777207" w14:textId="6337DA0F" w:rsidR="006F1EE1" w:rsidRDefault="003806C1" w:rsidP="00A777F6">
      <w:pPr>
        <w:spacing w:after="0"/>
        <w:ind w:left="278" w:right="0"/>
      </w:pPr>
      <w:r>
        <w:rPr>
          <w:b/>
        </w:rPr>
        <w:t xml:space="preserve"> </w:t>
      </w:r>
      <w:r>
        <w:t>Płyty chodnikowe wskaźnikowe betonowe mogą być przewożone na paletach dowolnymi środkami transportu, po osiągnięciu wytrzymałości minimum 0,7 wytrzymałości projektowanej.</w:t>
      </w:r>
      <w:r w:rsidR="00997744">
        <w:t xml:space="preserve"> </w:t>
      </w:r>
      <w:r>
        <w:t xml:space="preserve">Płyty powinny być zabezpieczone przed przemieszczeniem się i uszkodzeniami w czasie transportu. </w:t>
      </w:r>
    </w:p>
    <w:p w14:paraId="0A5E31E4" w14:textId="77777777" w:rsidR="006F1EE1" w:rsidRDefault="003806C1" w:rsidP="00A777F6">
      <w:pPr>
        <w:pStyle w:val="Nagwek2"/>
        <w:spacing w:after="0"/>
        <w:ind w:left="278"/>
      </w:pPr>
      <w:r>
        <w:t xml:space="preserve">4.3. Transport pozostałych materiałów </w:t>
      </w:r>
    </w:p>
    <w:p w14:paraId="5AACA5E8" w14:textId="77777777" w:rsidR="006F1EE1" w:rsidRDefault="003806C1" w:rsidP="00A777F6">
      <w:pPr>
        <w:spacing w:after="0"/>
        <w:ind w:left="278" w:right="0"/>
      </w:pPr>
      <w:r>
        <w:t xml:space="preserve"> Kruszywa można przewozić dowolnym środkiem transportu, w warunkach zabezpieczających je przed zanieczyszczeniem i zmieszaniem z innymi materiałami. Podczas transportu kruszywa powinny być zabezpieczone przed wysypaniem, a kruszywo drobne - przed rozpyleniem. </w:t>
      </w:r>
    </w:p>
    <w:p w14:paraId="2C65AA52" w14:textId="77777777" w:rsidR="006F1EE1" w:rsidRDefault="003806C1" w:rsidP="00A777F6">
      <w:pPr>
        <w:pStyle w:val="Nagwek1"/>
        <w:tabs>
          <w:tab w:val="center" w:pos="352"/>
          <w:tab w:val="center" w:pos="1540"/>
        </w:tabs>
        <w:spacing w:after="0"/>
        <w:ind w:left="0" w:firstLine="0"/>
      </w:pPr>
      <w:r>
        <w:rPr>
          <w:rFonts w:ascii="Calibri" w:eastAsia="Calibri" w:hAnsi="Calibri" w:cs="Calibri"/>
          <w:b w:val="0"/>
          <w:sz w:val="22"/>
        </w:rPr>
        <w:tab/>
      </w:r>
      <w:r>
        <w:t xml:space="preserve">5. </w:t>
      </w:r>
      <w:r>
        <w:tab/>
        <w:t xml:space="preserve">WYKONANIE ROBÓT </w:t>
      </w:r>
    </w:p>
    <w:p w14:paraId="5343DAFD" w14:textId="77777777" w:rsidR="006F1EE1" w:rsidRDefault="003806C1" w:rsidP="00A777F6">
      <w:pPr>
        <w:spacing w:after="0" w:line="259" w:lineRule="auto"/>
        <w:ind w:left="278" w:right="0"/>
        <w:jc w:val="left"/>
      </w:pPr>
      <w:r>
        <w:rPr>
          <w:b/>
        </w:rPr>
        <w:t xml:space="preserve">5.1. Ogólne zasady wykonania robót </w:t>
      </w:r>
    </w:p>
    <w:p w14:paraId="6D34F586" w14:textId="77777777" w:rsidR="006F1EE1" w:rsidRDefault="003806C1" w:rsidP="00A777F6">
      <w:pPr>
        <w:tabs>
          <w:tab w:val="center" w:pos="283"/>
          <w:tab w:val="center" w:pos="4193"/>
        </w:tabs>
        <w:spacing w:after="0"/>
        <w:ind w:left="0" w:right="0" w:firstLine="0"/>
        <w:jc w:val="left"/>
      </w:pPr>
      <w:r>
        <w:rPr>
          <w:rFonts w:ascii="Calibri" w:eastAsia="Calibri" w:hAnsi="Calibri" w:cs="Calibri"/>
          <w:sz w:val="22"/>
        </w:rPr>
        <w:tab/>
      </w:r>
      <w:r>
        <w:rPr>
          <w:b/>
        </w:rPr>
        <w:t xml:space="preserve"> </w:t>
      </w:r>
      <w:r>
        <w:rPr>
          <w:b/>
        </w:rPr>
        <w:tab/>
      </w:r>
      <w:r>
        <w:t xml:space="preserve">Ogólne zasady wykonania robót podano w ST D-M-00.00.00 „Wymagania ogólne” pkt 5. </w:t>
      </w:r>
    </w:p>
    <w:p w14:paraId="23BBF8D0" w14:textId="77777777" w:rsidR="006F1EE1" w:rsidRDefault="003806C1" w:rsidP="00A777F6">
      <w:pPr>
        <w:pStyle w:val="Nagwek2"/>
        <w:spacing w:after="0"/>
        <w:ind w:left="278"/>
      </w:pPr>
      <w:r>
        <w:t xml:space="preserve">5.2. Wykonanie koryta pod chodnik </w:t>
      </w:r>
    </w:p>
    <w:p w14:paraId="7D450306" w14:textId="77777777" w:rsidR="006F1EE1" w:rsidRDefault="003806C1" w:rsidP="00A777F6">
      <w:pPr>
        <w:spacing w:after="0"/>
        <w:ind w:left="278" w:right="0"/>
      </w:pPr>
      <w:r>
        <w:t xml:space="preserve"> Koryto wykonane w podłożu z gruntu rodzimego lub nasypowego powinno być wyprofilowane zgodnie z projektowanymi spadkami podłużnymi i poprzecznymi chodnika oraz zgodnie z wymaganiami podanymi w ST D-</w:t>
      </w:r>
      <w:r>
        <w:lastRenderedPageBreak/>
        <w:t xml:space="preserve">04.01.01 „Korytowanie wraz z profilowaniem i zagęszczeniem podłoża”. Wskaźnik zagęszczenia koryta nie może być mniejszy od 0,97 według normalnej metody Proctora. </w:t>
      </w:r>
    </w:p>
    <w:p w14:paraId="5B91F79C" w14:textId="0F70FF82" w:rsidR="006F1EE1" w:rsidRDefault="003806C1" w:rsidP="00A777F6">
      <w:pPr>
        <w:spacing w:after="0" w:line="259" w:lineRule="auto"/>
        <w:ind w:left="278" w:right="0"/>
        <w:jc w:val="left"/>
      </w:pPr>
      <w:r>
        <w:rPr>
          <w:b/>
        </w:rPr>
        <w:t>5.3. Podsypka</w:t>
      </w:r>
      <w:r w:rsidR="00A40FC5">
        <w:rPr>
          <w:b/>
        </w:rPr>
        <w:t xml:space="preserve"> cementowo piaskowa</w:t>
      </w:r>
      <w:r>
        <w:rPr>
          <w:b/>
        </w:rPr>
        <w:t xml:space="preserve"> </w:t>
      </w:r>
    </w:p>
    <w:p w14:paraId="09D51463" w14:textId="7CB38E8F" w:rsidR="006F1EE1" w:rsidRDefault="003806C1" w:rsidP="00A777F6">
      <w:pPr>
        <w:spacing w:after="0"/>
        <w:ind w:left="278" w:right="0"/>
      </w:pPr>
      <w:r>
        <w:t xml:space="preserve">Grubość podsypki po zagęszczeniu powinna wynosić około </w:t>
      </w:r>
      <w:r w:rsidR="00A40FC5">
        <w:t>4</w:t>
      </w:r>
      <w:r>
        <w:t xml:space="preserve"> cm. Podsypka powinna być zwilżona wodą, zagęszczona i wyprofilowana. </w:t>
      </w:r>
    </w:p>
    <w:p w14:paraId="4E7BBEFB" w14:textId="77777777" w:rsidR="006F1EE1" w:rsidRDefault="003806C1" w:rsidP="00A777F6">
      <w:pPr>
        <w:spacing w:after="0" w:line="259" w:lineRule="auto"/>
        <w:ind w:left="278" w:right="0"/>
        <w:jc w:val="left"/>
      </w:pPr>
      <w:r>
        <w:rPr>
          <w:b/>
        </w:rPr>
        <w:t xml:space="preserve">5.4. Podbudowa </w:t>
      </w:r>
    </w:p>
    <w:p w14:paraId="7C5A72AE" w14:textId="79890F92" w:rsidR="006F1EE1" w:rsidRDefault="003806C1" w:rsidP="00A777F6">
      <w:pPr>
        <w:spacing w:after="0"/>
        <w:ind w:left="278" w:right="0"/>
      </w:pPr>
      <w:r>
        <w:t>Płytki wskaźnikowe pow</w:t>
      </w:r>
      <w:r w:rsidR="002343C9">
        <w:t>inny być układane na podbudowie</w:t>
      </w:r>
      <w:r w:rsidR="002343C9" w:rsidRPr="002343C9">
        <w:t xml:space="preserve"> z chudego betonu gr. 10cm (C8/10),</w:t>
      </w:r>
    </w:p>
    <w:p w14:paraId="34EE72B3" w14:textId="77777777" w:rsidR="006F1EE1" w:rsidRDefault="003806C1" w:rsidP="00A777F6">
      <w:pPr>
        <w:pStyle w:val="Nagwek2"/>
        <w:spacing w:after="0"/>
        <w:ind w:left="278"/>
      </w:pPr>
      <w:r>
        <w:t xml:space="preserve">5.5. Zasady układania płyt wskaźnikowych </w:t>
      </w:r>
    </w:p>
    <w:p w14:paraId="3AB30FAD" w14:textId="70B5563A" w:rsidR="006F1EE1" w:rsidRDefault="003806C1" w:rsidP="00A777F6">
      <w:pPr>
        <w:spacing w:after="0"/>
        <w:ind w:left="278" w:right="0"/>
      </w:pPr>
      <w:r>
        <w:t xml:space="preserve"> Płyty przy krawężnikach i sąsiadującej nawierzchni z innych płyt chodnikowych i kostki betonowej należy układać w taki sposób, aby ich górna krawędź znajdowała się na poziomie krawędzi sąsiednich elementów. Przy urządzeniach naziemnych uzbrojenia podziemnego płyty odpowiednio docięte należy układać w jednym poziomie, regulując</w:t>
      </w:r>
      <w:r w:rsidR="00997744">
        <w:t xml:space="preserve"> </w:t>
      </w:r>
      <w:r>
        <w:t xml:space="preserve">wysokość urządzeń naziemnych do poziomu chodnika. Płyty należy układać zgodnie ze wzorem wskazanym w dokumentacji projektowej. Płyty mogą być przycinane. Płytek nie należy dobijać zagęszczarkami płytowymi – dobijanie wykonać młotkiem brukarskim poprzez elastyczną przekładkę. </w:t>
      </w:r>
    </w:p>
    <w:p w14:paraId="026D20BD" w14:textId="77B9D4AC" w:rsidR="006F1EE1" w:rsidRDefault="003806C1" w:rsidP="00A777F6">
      <w:pPr>
        <w:spacing w:after="0"/>
        <w:ind w:left="278" w:right="0"/>
      </w:pPr>
      <w:r>
        <w:t>Zaleca się układanie płytek ze spoiną szer. do 3mm w poziomie górnych krawędzi. Po ułożeniu płytek,</w:t>
      </w:r>
      <w:r w:rsidR="00997744">
        <w:t xml:space="preserve"> </w:t>
      </w:r>
      <w:r>
        <w:t xml:space="preserve">spoiny wypełnić drobnym piaskiem, lub miałem kamiennym. </w:t>
      </w:r>
    </w:p>
    <w:p w14:paraId="2F8DB1AD" w14:textId="77777777" w:rsidR="006F1EE1" w:rsidRDefault="003806C1" w:rsidP="00A777F6">
      <w:pPr>
        <w:pStyle w:val="Nagwek1"/>
        <w:tabs>
          <w:tab w:val="center" w:pos="352"/>
          <w:tab w:val="center" w:pos="1885"/>
        </w:tabs>
        <w:spacing w:after="0"/>
        <w:ind w:left="0" w:firstLine="0"/>
      </w:pPr>
      <w:r>
        <w:rPr>
          <w:rFonts w:ascii="Calibri" w:eastAsia="Calibri" w:hAnsi="Calibri" w:cs="Calibri"/>
          <w:b w:val="0"/>
          <w:sz w:val="22"/>
        </w:rPr>
        <w:tab/>
      </w:r>
      <w:r>
        <w:t xml:space="preserve">6. </w:t>
      </w:r>
      <w:r>
        <w:tab/>
        <w:t xml:space="preserve">KONTROLA JAKOŚCI ROBÓT </w:t>
      </w:r>
    </w:p>
    <w:p w14:paraId="69E60A78" w14:textId="77777777" w:rsidR="006F1EE1" w:rsidRDefault="003806C1" w:rsidP="00A777F6">
      <w:pPr>
        <w:spacing w:after="0" w:line="259" w:lineRule="auto"/>
        <w:ind w:left="278" w:right="0"/>
        <w:jc w:val="left"/>
      </w:pPr>
      <w:r>
        <w:rPr>
          <w:b/>
        </w:rPr>
        <w:t xml:space="preserve">6.1. Ogólne zasady kontroli jakości robót </w:t>
      </w:r>
    </w:p>
    <w:p w14:paraId="392C9F85" w14:textId="77777777" w:rsidR="006F1EE1" w:rsidRDefault="003806C1" w:rsidP="00A777F6">
      <w:pPr>
        <w:tabs>
          <w:tab w:val="center" w:pos="283"/>
          <w:tab w:val="center" w:pos="4345"/>
        </w:tabs>
        <w:spacing w:after="0"/>
        <w:ind w:left="0" w:right="0" w:firstLine="0"/>
        <w:jc w:val="left"/>
      </w:pPr>
      <w:r>
        <w:rPr>
          <w:rFonts w:ascii="Calibri" w:eastAsia="Calibri" w:hAnsi="Calibri" w:cs="Calibri"/>
          <w:sz w:val="22"/>
        </w:rPr>
        <w:tab/>
      </w:r>
      <w:r>
        <w:t xml:space="preserve"> </w:t>
      </w:r>
      <w:r>
        <w:tab/>
        <w:t xml:space="preserve">Ogólne zasady kontroli jakości robót podano w ST D-M-00.00.00 „Wymagania ogólne” pkt 6. </w:t>
      </w:r>
    </w:p>
    <w:p w14:paraId="7FF089CE" w14:textId="77777777" w:rsidR="006F1EE1" w:rsidRDefault="003806C1" w:rsidP="00A777F6">
      <w:pPr>
        <w:pStyle w:val="Nagwek2"/>
        <w:spacing w:after="0"/>
        <w:ind w:left="278"/>
      </w:pPr>
      <w:r>
        <w:t xml:space="preserve">6.2. Badania przed przystąpieniem do robót </w:t>
      </w:r>
    </w:p>
    <w:p w14:paraId="49E39188" w14:textId="77777777" w:rsidR="006F1EE1" w:rsidRDefault="003806C1" w:rsidP="00A777F6">
      <w:pPr>
        <w:spacing w:after="0"/>
        <w:ind w:left="278" w:right="4922"/>
      </w:pPr>
      <w:r>
        <w:t xml:space="preserve"> </w:t>
      </w:r>
      <w:r>
        <w:tab/>
        <w:t xml:space="preserve">Przed przystąpieniem do robót Wykonawca powinien uzyskać: a) w zakresie betonowych płyt wskaźnikowych </w:t>
      </w:r>
    </w:p>
    <w:p w14:paraId="3A52E540" w14:textId="2F20B003" w:rsidR="006F1EE1" w:rsidRDefault="00997744" w:rsidP="00A777F6">
      <w:pPr>
        <w:spacing w:after="0"/>
        <w:ind w:left="849" w:right="0" w:firstLine="0"/>
      </w:pPr>
      <w:r>
        <w:t xml:space="preserve">- </w:t>
      </w:r>
      <w:r w:rsidR="003806C1">
        <w:t xml:space="preserve">deklarację zgodności dostawcy oraz ewentualne wyniki badań cech charakterystycznych płyt,  </w:t>
      </w:r>
    </w:p>
    <w:p w14:paraId="7775655F" w14:textId="77777777" w:rsidR="00997744" w:rsidRDefault="00997744" w:rsidP="00A777F6">
      <w:pPr>
        <w:spacing w:after="0"/>
        <w:ind w:left="849" w:right="0" w:firstLine="0"/>
      </w:pPr>
      <w:r>
        <w:t xml:space="preserve">- </w:t>
      </w:r>
      <w:r w:rsidR="003806C1">
        <w:t>wyniki sprawdzenia przez Wykonawcę cech zewnętrznych płyt wg pktu 2.2.3.,</w:t>
      </w:r>
    </w:p>
    <w:p w14:paraId="19318FBC" w14:textId="6DBEDA01" w:rsidR="006F1EE1" w:rsidRDefault="003806C1" w:rsidP="00A777F6">
      <w:pPr>
        <w:spacing w:after="0"/>
        <w:ind w:left="849" w:right="0" w:firstLine="0"/>
      </w:pPr>
      <w:r>
        <w:t xml:space="preserve"> b) w zakresie innych materiałów </w:t>
      </w:r>
    </w:p>
    <w:p w14:paraId="1D63DDB7" w14:textId="5B9F3FDB" w:rsidR="006F1EE1" w:rsidRDefault="00997744" w:rsidP="00A777F6">
      <w:pPr>
        <w:spacing w:after="0"/>
        <w:ind w:left="849" w:right="0" w:firstLine="0"/>
      </w:pPr>
      <w:r>
        <w:t xml:space="preserve">- </w:t>
      </w:r>
      <w:r w:rsidR="003806C1">
        <w:t xml:space="preserve">ew. badania właściwości kruszyw, piasku, cementu, wody itp. określone w normach, które budzą wątpliwości Inżyniera. </w:t>
      </w:r>
    </w:p>
    <w:p w14:paraId="1B3D74B9" w14:textId="77777777" w:rsidR="006F1EE1" w:rsidRDefault="003806C1" w:rsidP="00A777F6">
      <w:pPr>
        <w:spacing w:after="0" w:line="259" w:lineRule="auto"/>
        <w:ind w:left="854" w:right="0" w:firstLine="0"/>
        <w:jc w:val="left"/>
      </w:pPr>
      <w:r>
        <w:t xml:space="preserve"> </w:t>
      </w:r>
    </w:p>
    <w:p w14:paraId="1FB39C60" w14:textId="77777777" w:rsidR="006F1EE1" w:rsidRDefault="003806C1" w:rsidP="00A777F6">
      <w:pPr>
        <w:tabs>
          <w:tab w:val="center" w:pos="283"/>
          <w:tab w:val="center" w:pos="4347"/>
        </w:tabs>
        <w:spacing w:after="0"/>
        <w:ind w:left="0" w:right="0" w:firstLine="0"/>
        <w:jc w:val="left"/>
      </w:pPr>
      <w:r>
        <w:rPr>
          <w:rFonts w:ascii="Calibri" w:eastAsia="Calibri" w:hAnsi="Calibri" w:cs="Calibri"/>
          <w:sz w:val="22"/>
        </w:rPr>
        <w:tab/>
      </w:r>
      <w:r>
        <w:t xml:space="preserve"> </w:t>
      </w:r>
      <w:r>
        <w:tab/>
        <w:t xml:space="preserve">Wszystkie dokumenty oraz wyniki badań Wykonawca przedstawia Inżynierowi do akceptacji. </w:t>
      </w:r>
    </w:p>
    <w:p w14:paraId="4882C712" w14:textId="77777777" w:rsidR="006F1EE1" w:rsidRDefault="003806C1" w:rsidP="00A777F6">
      <w:pPr>
        <w:pStyle w:val="Nagwek2"/>
        <w:spacing w:after="0" w:line="399" w:lineRule="auto"/>
        <w:ind w:left="278" w:right="7659"/>
      </w:pPr>
      <w:r>
        <w:t xml:space="preserve">6.3. Badania w czasie robót 6.3.1. Sprawdzenie podłoża </w:t>
      </w:r>
    </w:p>
    <w:p w14:paraId="5C1BE038" w14:textId="77777777" w:rsidR="006F1EE1" w:rsidRDefault="003806C1" w:rsidP="00A777F6">
      <w:pPr>
        <w:spacing w:after="0"/>
        <w:ind w:left="268" w:right="1026" w:firstLine="710"/>
      </w:pPr>
      <w:r>
        <w:t xml:space="preserve">Sprawdzenie podłoża polega na stwierdzeniu zgodności z dokumentacją projektową i odpowiednimi ST. Dopuszczalne tolerancje wynoszą dla: </w:t>
      </w:r>
    </w:p>
    <w:p w14:paraId="3475A6A7" w14:textId="4DBE592A" w:rsidR="006F1EE1" w:rsidRDefault="003806C1" w:rsidP="00A777F6">
      <w:pPr>
        <w:spacing w:after="0"/>
        <w:ind w:left="748" w:right="0" w:firstLine="0"/>
      </w:pPr>
      <w:r>
        <w:t>-</w:t>
      </w:r>
      <w:r w:rsidR="00997744">
        <w:t xml:space="preserve"> </w:t>
      </w:r>
      <w:r>
        <w:t xml:space="preserve">głębokości koryta: </w:t>
      </w:r>
    </w:p>
    <w:p w14:paraId="20871422" w14:textId="1A6F8364" w:rsidR="006F1EE1" w:rsidRDefault="00997744" w:rsidP="00A777F6">
      <w:pPr>
        <w:spacing w:after="0"/>
        <w:ind w:left="748" w:right="0" w:firstLine="0"/>
      </w:pPr>
      <w:r>
        <w:t xml:space="preserve">- </w:t>
      </w:r>
      <w:r w:rsidR="003806C1">
        <w:t xml:space="preserve">o szerokości do 3 m: ± 1 cm, </w:t>
      </w:r>
    </w:p>
    <w:p w14:paraId="791C306B" w14:textId="431052B8" w:rsidR="006F1EE1" w:rsidRDefault="00997744" w:rsidP="00A777F6">
      <w:pPr>
        <w:spacing w:after="0"/>
        <w:ind w:left="748" w:right="0" w:firstLine="0"/>
      </w:pPr>
      <w:r>
        <w:t xml:space="preserve">- </w:t>
      </w:r>
      <w:r w:rsidR="003806C1">
        <w:t xml:space="preserve">o szerokości powyżej 3 m: ± 2 cm, </w:t>
      </w:r>
    </w:p>
    <w:p w14:paraId="497A716E" w14:textId="77777777" w:rsidR="006F1EE1" w:rsidRDefault="003806C1" w:rsidP="00A777F6">
      <w:pPr>
        <w:spacing w:after="0"/>
        <w:ind w:left="748" w:right="0" w:firstLine="0"/>
      </w:pPr>
      <w:r>
        <w:t xml:space="preserve">- szerokości koryta: ± 5 cm </w:t>
      </w:r>
    </w:p>
    <w:p w14:paraId="795E6CD6" w14:textId="77777777" w:rsidR="006F1EE1" w:rsidRDefault="003806C1" w:rsidP="00A777F6">
      <w:pPr>
        <w:pStyle w:val="Nagwek3"/>
        <w:spacing w:after="0"/>
        <w:ind w:left="278"/>
      </w:pPr>
      <w:r>
        <w:t xml:space="preserve">6.3.2. Sprawdzenie podsypki </w:t>
      </w:r>
    </w:p>
    <w:p w14:paraId="368252D1" w14:textId="77777777" w:rsidR="006F1EE1" w:rsidRDefault="003806C1" w:rsidP="00A777F6">
      <w:pPr>
        <w:spacing w:after="0"/>
        <w:ind w:left="1004" w:right="0"/>
      </w:pPr>
      <w:r>
        <w:t xml:space="preserve">Sprawdzenie podsypki w zakresie grubości i wymaganych spadków poprzecznych i podłużnych polega na stwierdzeniu zgodności z </w:t>
      </w:r>
    </w:p>
    <w:p w14:paraId="40AFE62E" w14:textId="644229F1" w:rsidR="006F1EE1" w:rsidRDefault="003806C1" w:rsidP="00A777F6">
      <w:pPr>
        <w:spacing w:after="0"/>
        <w:ind w:left="278" w:right="0"/>
      </w:pPr>
      <w:r>
        <w:t>dokumentacją projektową oraz pkt 5.3 niniejszej ST.</w:t>
      </w:r>
      <w:r w:rsidR="00997744">
        <w:t xml:space="preserve"> </w:t>
      </w:r>
      <w:r>
        <w:t xml:space="preserve">Dopuszczalne odchylenia w grubości podsypki nie mogą przekraczać ± 1 cm. </w:t>
      </w:r>
    </w:p>
    <w:p w14:paraId="371E4CC7" w14:textId="77777777" w:rsidR="006F1EE1" w:rsidRDefault="003806C1" w:rsidP="00A777F6">
      <w:pPr>
        <w:pStyle w:val="Nagwek3"/>
        <w:spacing w:after="0"/>
        <w:ind w:left="278"/>
      </w:pPr>
      <w:r>
        <w:t xml:space="preserve">6.3.3. Sprawdzenie wykonania chodnika </w:t>
      </w:r>
    </w:p>
    <w:p w14:paraId="20742E82" w14:textId="77777777" w:rsidR="006F1EE1" w:rsidRDefault="003806C1" w:rsidP="00A777F6">
      <w:pPr>
        <w:spacing w:after="0"/>
        <w:ind w:left="1004" w:right="0"/>
      </w:pPr>
      <w:r>
        <w:t xml:space="preserve">Sprawdzenie prawidłowości wykonania chodnika polega na stwierdzeniu zgodności wykonania z dokumentacją projektową oraz </w:t>
      </w:r>
    </w:p>
    <w:p w14:paraId="2428FE41" w14:textId="77777777" w:rsidR="006F1EE1" w:rsidRDefault="003806C1" w:rsidP="00A777F6">
      <w:pPr>
        <w:spacing w:after="0"/>
        <w:ind w:left="278" w:right="0"/>
      </w:pPr>
      <w:r>
        <w:t xml:space="preserve">wymaganiami niniejszej ST. </w:t>
      </w:r>
    </w:p>
    <w:p w14:paraId="53AED2F6" w14:textId="77777777" w:rsidR="006F1EE1" w:rsidRDefault="003806C1" w:rsidP="00A777F6">
      <w:pPr>
        <w:pStyle w:val="Nagwek2"/>
        <w:spacing w:after="0"/>
        <w:ind w:left="278"/>
      </w:pPr>
      <w:r>
        <w:t xml:space="preserve">6.4. Sprawdzenie cech geometrycznych chodnika </w:t>
      </w:r>
    </w:p>
    <w:p w14:paraId="74E00EEA" w14:textId="77777777" w:rsidR="006F1EE1" w:rsidRDefault="003806C1" w:rsidP="00A777F6">
      <w:pPr>
        <w:pStyle w:val="Nagwek3"/>
        <w:spacing w:after="0"/>
        <w:ind w:left="278"/>
      </w:pPr>
      <w:r>
        <w:t xml:space="preserve">6.4.1. Sprawdzenie równości chodnika </w:t>
      </w:r>
    </w:p>
    <w:p w14:paraId="52A92842" w14:textId="77777777" w:rsidR="006F1EE1" w:rsidRDefault="003806C1" w:rsidP="00A777F6">
      <w:pPr>
        <w:spacing w:after="0"/>
        <w:ind w:left="1004" w:right="0"/>
      </w:pPr>
      <w:r>
        <w:t>Sprawdzenie równości przeprowadzać należy łatą czterometrową co najmniej raz na każde 5 m</w:t>
      </w:r>
      <w:r>
        <w:rPr>
          <w:vertAlign w:val="superscript"/>
        </w:rPr>
        <w:t>2</w:t>
      </w:r>
      <w:r>
        <w:t xml:space="preserve"> ułożonego chodnika z </w:t>
      </w:r>
    </w:p>
    <w:p w14:paraId="3E7A528E" w14:textId="1BC0C28D" w:rsidR="006F1EE1" w:rsidRDefault="003806C1" w:rsidP="00A777F6">
      <w:pPr>
        <w:spacing w:after="0"/>
        <w:ind w:left="278" w:right="0"/>
      </w:pPr>
      <w:r>
        <w:t>wmontowanymi płytami wskaźnikowymi</w:t>
      </w:r>
      <w:r w:rsidR="00997744">
        <w:t xml:space="preserve"> </w:t>
      </w:r>
      <w:r>
        <w:t>i w miejscach wątpliwych, jednak nie rzadziej niż</w:t>
      </w:r>
      <w:r w:rsidR="00997744">
        <w:t xml:space="preserve"> </w:t>
      </w:r>
      <w:r>
        <w:t>co 5 m</w:t>
      </w:r>
      <w:r>
        <w:rPr>
          <w:vertAlign w:val="superscript"/>
        </w:rPr>
        <w:t>2</w:t>
      </w:r>
      <w:r>
        <w:t xml:space="preserve"> chodnika. Dopuszczalny prześwit pod łatą</w:t>
      </w:r>
      <w:r w:rsidR="00997744">
        <w:t xml:space="preserve"> </w:t>
      </w:r>
      <w:r>
        <w:t xml:space="preserve">nie powinien przekraczać 0.5cm. Różnice wysokości przylegających krawędzi płyt, kostki lub krawężnika nie mogą przekraczać 2mm. </w:t>
      </w:r>
    </w:p>
    <w:p w14:paraId="75BDDE9C" w14:textId="77777777" w:rsidR="006F1EE1" w:rsidRDefault="003806C1" w:rsidP="00A777F6">
      <w:pPr>
        <w:pStyle w:val="Nagwek3"/>
        <w:spacing w:after="0"/>
        <w:ind w:left="278"/>
      </w:pPr>
      <w:r>
        <w:lastRenderedPageBreak/>
        <w:t xml:space="preserve">6.4.2. Sprawdzenie profilu podłużnego </w:t>
      </w:r>
    </w:p>
    <w:p w14:paraId="1011FC63" w14:textId="4068C8DC" w:rsidR="006F1EE1" w:rsidRDefault="003806C1" w:rsidP="00A777F6">
      <w:pPr>
        <w:spacing w:after="0"/>
        <w:ind w:left="1004" w:right="0"/>
      </w:pPr>
      <w:r>
        <w:t>Sprawdzenie profilu podłużnego przeprowadzać należy za pomocą niwelacji, biorąc pod uwagę</w:t>
      </w:r>
      <w:r w:rsidR="00997744">
        <w:t xml:space="preserve"> </w:t>
      </w:r>
      <w:r>
        <w:t xml:space="preserve">punkty charakterystyczne, jednak nie </w:t>
      </w:r>
    </w:p>
    <w:p w14:paraId="1D0C233B" w14:textId="0EEE763E" w:rsidR="006F1EE1" w:rsidRDefault="003806C1" w:rsidP="00A777F6">
      <w:pPr>
        <w:spacing w:after="0"/>
        <w:ind w:left="278" w:right="0"/>
      </w:pPr>
      <w:r>
        <w:t>rzadziej niż</w:t>
      </w:r>
      <w:r w:rsidR="00997744">
        <w:t xml:space="preserve"> </w:t>
      </w:r>
      <w:r>
        <w:t>co 10 m.</w:t>
      </w:r>
      <w:r w:rsidR="00997744">
        <w:t xml:space="preserve"> </w:t>
      </w:r>
      <w:r>
        <w:t>Odchylenia od projektowanej niwelety chodnika w punktach załamania niwelety nie mogą</w:t>
      </w:r>
      <w:r w:rsidR="00997744">
        <w:t xml:space="preserve"> </w:t>
      </w:r>
      <w:r>
        <w:t xml:space="preserve">przekraczać ± 1 cm. </w:t>
      </w:r>
    </w:p>
    <w:p w14:paraId="75B049EC" w14:textId="77777777" w:rsidR="006F1EE1" w:rsidRDefault="003806C1" w:rsidP="00A777F6">
      <w:pPr>
        <w:pStyle w:val="Nagwek3"/>
        <w:spacing w:after="0"/>
        <w:ind w:left="278"/>
      </w:pPr>
      <w:r>
        <w:t xml:space="preserve">6.4.3. Sprawdzenie profilu poprzecznego </w:t>
      </w:r>
    </w:p>
    <w:p w14:paraId="0710EB7B" w14:textId="6D3AE596" w:rsidR="006F1EE1" w:rsidRDefault="003806C1" w:rsidP="00A777F6">
      <w:pPr>
        <w:spacing w:after="0"/>
        <w:ind w:left="268" w:right="0" w:firstLine="710"/>
      </w:pPr>
      <w:r>
        <w:t>Sprawdzenie profilu poprzecznego dokonywać należy szablonem z poziomicą, co najmniej raz na</w:t>
      </w:r>
      <w:r w:rsidR="00997744">
        <w:t xml:space="preserve"> </w:t>
      </w:r>
      <w:r>
        <w:t xml:space="preserve">każde 5 m2 chodnika. Dopuszczalne odchylenia od projektowanego profilu wynoszą ± 0,3%. </w:t>
      </w:r>
    </w:p>
    <w:p w14:paraId="2F269431" w14:textId="77777777" w:rsidR="006F1EE1" w:rsidRDefault="003806C1" w:rsidP="00A777F6">
      <w:pPr>
        <w:pStyle w:val="Nagwek3"/>
        <w:spacing w:after="0"/>
        <w:ind w:left="278"/>
      </w:pPr>
      <w:r>
        <w:t xml:space="preserve">6.4.4. Sprawdzenie równoległości spoin </w:t>
      </w:r>
    </w:p>
    <w:p w14:paraId="760FF2B7" w14:textId="0786AD1F" w:rsidR="006F1EE1" w:rsidRDefault="003806C1" w:rsidP="00A777F6">
      <w:pPr>
        <w:spacing w:after="0"/>
        <w:ind w:left="1004" w:right="0"/>
      </w:pPr>
      <w:r>
        <w:t>Sprawdzenie równoległości spoin należy przeprowadzać za pomocą dwóch sznurów napiętych wzdłuż</w:t>
      </w:r>
      <w:r w:rsidR="00997744">
        <w:t xml:space="preserve"> </w:t>
      </w:r>
      <w:r>
        <w:t xml:space="preserve">spoin i przymiaru z podziałką </w:t>
      </w:r>
    </w:p>
    <w:p w14:paraId="5CDF4B4B" w14:textId="77777777" w:rsidR="006F1EE1" w:rsidRDefault="003806C1" w:rsidP="00A777F6">
      <w:pPr>
        <w:spacing w:after="0"/>
        <w:ind w:left="278" w:right="0"/>
      </w:pPr>
      <w:r>
        <w:t>milimetrową raz na działkę roboczą. Dopuszczalne odchylenie wynosi ± 0.5 cm</w:t>
      </w:r>
      <w:r>
        <w:rPr>
          <w:sz w:val="22"/>
        </w:rPr>
        <w:t xml:space="preserve">. </w:t>
      </w:r>
    </w:p>
    <w:p w14:paraId="7D585CFA" w14:textId="77777777" w:rsidR="006F1EE1" w:rsidRDefault="003806C1" w:rsidP="00A777F6">
      <w:pPr>
        <w:pStyle w:val="Nagwek3"/>
        <w:spacing w:after="0"/>
        <w:ind w:left="278"/>
      </w:pPr>
      <w:r>
        <w:t xml:space="preserve">6.4.5. Sprawdzenie szerokości i wypełnienia spoin </w:t>
      </w:r>
    </w:p>
    <w:p w14:paraId="41F3CFC4" w14:textId="77777777" w:rsidR="006F1EE1" w:rsidRDefault="003806C1" w:rsidP="00A777F6">
      <w:pPr>
        <w:spacing w:after="0"/>
        <w:ind w:left="1004" w:right="0"/>
      </w:pPr>
      <w:r>
        <w:t xml:space="preserve">Wypełnienie spoin, powinno wykazywać całkowite wypełnienie badanej spoiny na pełną głębokość. Szerokość spoin nie powinna </w:t>
      </w:r>
    </w:p>
    <w:p w14:paraId="4176703D" w14:textId="77777777" w:rsidR="006F1EE1" w:rsidRDefault="003806C1" w:rsidP="00A777F6">
      <w:pPr>
        <w:spacing w:after="0"/>
        <w:ind w:left="278" w:right="0"/>
      </w:pPr>
      <w:r>
        <w:t xml:space="preserve">być większa od 3mm.  </w:t>
      </w:r>
    </w:p>
    <w:p w14:paraId="77BCAC6C" w14:textId="77777777" w:rsidR="006F1EE1" w:rsidRDefault="003806C1" w:rsidP="00A777F6">
      <w:pPr>
        <w:spacing w:after="0" w:line="259" w:lineRule="auto"/>
        <w:ind w:left="278" w:right="0"/>
        <w:jc w:val="left"/>
      </w:pPr>
      <w:r>
        <w:rPr>
          <w:b/>
        </w:rPr>
        <w:t xml:space="preserve">6.4.6. Sprawdzenie barwy i desenia ułożonych płyt  </w:t>
      </w:r>
    </w:p>
    <w:p w14:paraId="1C2FAA64" w14:textId="77777777" w:rsidR="006F1EE1" w:rsidRDefault="003806C1" w:rsidP="00A777F6">
      <w:pPr>
        <w:spacing w:after="0"/>
        <w:ind w:left="1004" w:right="0"/>
      </w:pPr>
      <w:r>
        <w:t xml:space="preserve">Barwa, typ płyt i deseń ułożonych płyt należy na bieżąco kontrolować z dokumentacją projektową. </w:t>
      </w:r>
    </w:p>
    <w:p w14:paraId="6BA87B3E" w14:textId="77777777" w:rsidR="006F1EE1" w:rsidRDefault="003806C1" w:rsidP="00A777F6">
      <w:pPr>
        <w:spacing w:after="0" w:line="259" w:lineRule="auto"/>
        <w:ind w:left="994" w:right="0" w:firstLine="0"/>
        <w:jc w:val="left"/>
      </w:pPr>
      <w:r>
        <w:t xml:space="preserve"> </w:t>
      </w:r>
    </w:p>
    <w:p w14:paraId="398CED37" w14:textId="77777777" w:rsidR="006F1EE1" w:rsidRDefault="003806C1" w:rsidP="00A777F6">
      <w:pPr>
        <w:pStyle w:val="Nagwek1"/>
        <w:tabs>
          <w:tab w:val="center" w:pos="352"/>
          <w:tab w:val="center" w:pos="1362"/>
        </w:tabs>
        <w:spacing w:after="0"/>
        <w:ind w:left="0" w:firstLine="0"/>
      </w:pPr>
      <w:r>
        <w:rPr>
          <w:rFonts w:ascii="Calibri" w:eastAsia="Calibri" w:hAnsi="Calibri" w:cs="Calibri"/>
          <w:b w:val="0"/>
          <w:sz w:val="22"/>
        </w:rPr>
        <w:tab/>
      </w:r>
      <w:r>
        <w:t xml:space="preserve">7. </w:t>
      </w:r>
      <w:r>
        <w:tab/>
        <w:t xml:space="preserve">OBMIAR ROBÓT </w:t>
      </w:r>
    </w:p>
    <w:p w14:paraId="6E751BD6" w14:textId="77777777" w:rsidR="006F1EE1" w:rsidRDefault="003806C1" w:rsidP="00A777F6">
      <w:pPr>
        <w:spacing w:after="0" w:line="259" w:lineRule="auto"/>
        <w:ind w:left="278" w:right="0"/>
        <w:jc w:val="left"/>
      </w:pPr>
      <w:r>
        <w:rPr>
          <w:b/>
        </w:rPr>
        <w:t xml:space="preserve">7.1.1. Ogólne zasady obmiaru robót </w:t>
      </w:r>
    </w:p>
    <w:p w14:paraId="1DB9DE2D" w14:textId="77777777" w:rsidR="006F1EE1" w:rsidRDefault="003806C1" w:rsidP="00A777F6">
      <w:pPr>
        <w:tabs>
          <w:tab w:val="center" w:pos="283"/>
          <w:tab w:val="center" w:pos="4102"/>
        </w:tabs>
        <w:spacing w:after="0"/>
        <w:ind w:left="0" w:right="0" w:firstLine="0"/>
        <w:jc w:val="left"/>
      </w:pPr>
      <w:r>
        <w:rPr>
          <w:rFonts w:ascii="Calibri" w:eastAsia="Calibri" w:hAnsi="Calibri" w:cs="Calibri"/>
          <w:sz w:val="22"/>
        </w:rPr>
        <w:tab/>
      </w:r>
      <w:r>
        <w:t xml:space="preserve"> </w:t>
      </w:r>
      <w:r>
        <w:tab/>
        <w:t xml:space="preserve">Ogólne zasady obmiaru robót podano w ST D-M-00.00.00 „Wymagania ogólne” pkt 7. </w:t>
      </w:r>
    </w:p>
    <w:p w14:paraId="7E8D1A84" w14:textId="77777777" w:rsidR="006F1EE1" w:rsidRDefault="003806C1" w:rsidP="00A777F6">
      <w:pPr>
        <w:spacing w:after="0" w:line="259" w:lineRule="auto"/>
        <w:ind w:left="278" w:right="0"/>
        <w:jc w:val="left"/>
      </w:pPr>
      <w:r>
        <w:rPr>
          <w:b/>
        </w:rPr>
        <w:t xml:space="preserve">7.1.2. Jednostka obmiarowa </w:t>
      </w:r>
    </w:p>
    <w:p w14:paraId="063F46AC" w14:textId="77777777" w:rsidR="006F1EE1" w:rsidRDefault="003806C1" w:rsidP="00A777F6">
      <w:pPr>
        <w:tabs>
          <w:tab w:val="center" w:pos="283"/>
          <w:tab w:val="center" w:pos="4421"/>
        </w:tabs>
        <w:spacing w:after="0"/>
        <w:ind w:left="0" w:right="0" w:firstLine="0"/>
        <w:jc w:val="left"/>
      </w:pPr>
      <w:r>
        <w:rPr>
          <w:rFonts w:ascii="Calibri" w:eastAsia="Calibri" w:hAnsi="Calibri" w:cs="Calibri"/>
          <w:sz w:val="22"/>
        </w:rPr>
        <w:tab/>
      </w:r>
      <w:r>
        <w:t xml:space="preserve"> </w:t>
      </w:r>
      <w:r>
        <w:tab/>
        <w:t>Jednostką obmiarową jest m</w:t>
      </w:r>
      <w:r>
        <w:rPr>
          <w:vertAlign w:val="superscript"/>
        </w:rPr>
        <w:t>2</w:t>
      </w:r>
      <w:r>
        <w:t xml:space="preserve"> (metr kwadratowy) wykonanego chodnika z płyt wskaźnikowych. </w:t>
      </w:r>
    </w:p>
    <w:p w14:paraId="4486ECC1" w14:textId="77777777" w:rsidR="006F1EE1" w:rsidRDefault="003806C1" w:rsidP="00A777F6">
      <w:pPr>
        <w:pStyle w:val="Nagwek1"/>
        <w:tabs>
          <w:tab w:val="center" w:pos="352"/>
          <w:tab w:val="center" w:pos="1358"/>
        </w:tabs>
        <w:spacing w:after="0"/>
        <w:ind w:left="0" w:firstLine="0"/>
      </w:pPr>
      <w:r>
        <w:rPr>
          <w:rFonts w:ascii="Calibri" w:eastAsia="Calibri" w:hAnsi="Calibri" w:cs="Calibri"/>
          <w:b w:val="0"/>
          <w:sz w:val="22"/>
        </w:rPr>
        <w:tab/>
      </w:r>
      <w:r>
        <w:t xml:space="preserve">8. </w:t>
      </w:r>
      <w:r>
        <w:tab/>
        <w:t xml:space="preserve">ODBIÓR ROBÓT </w:t>
      </w:r>
    </w:p>
    <w:p w14:paraId="073591C4" w14:textId="77777777" w:rsidR="006F1EE1" w:rsidRDefault="003806C1" w:rsidP="00A777F6">
      <w:pPr>
        <w:pStyle w:val="Nagwek2"/>
        <w:spacing w:after="0"/>
        <w:ind w:left="278"/>
      </w:pPr>
      <w:r>
        <w:t xml:space="preserve">8.1.1. 8.1. Ogólne zasady odbioru robót </w:t>
      </w:r>
    </w:p>
    <w:p w14:paraId="2D25C407" w14:textId="77777777" w:rsidR="006F1EE1" w:rsidRDefault="003806C1" w:rsidP="00A777F6">
      <w:pPr>
        <w:tabs>
          <w:tab w:val="center" w:pos="283"/>
          <w:tab w:val="center" w:pos="4081"/>
        </w:tabs>
        <w:spacing w:after="0"/>
        <w:ind w:left="0" w:right="0" w:firstLine="0"/>
        <w:jc w:val="left"/>
      </w:pPr>
      <w:r>
        <w:rPr>
          <w:rFonts w:ascii="Calibri" w:eastAsia="Calibri" w:hAnsi="Calibri" w:cs="Calibri"/>
          <w:sz w:val="22"/>
        </w:rPr>
        <w:tab/>
      </w:r>
      <w:r>
        <w:t xml:space="preserve"> </w:t>
      </w:r>
      <w:r>
        <w:tab/>
        <w:t xml:space="preserve">Ogólne zasady odbioru robót podano w ST D-M-00.00.00 „Wymagania ogólne” pkt 8. </w:t>
      </w:r>
    </w:p>
    <w:p w14:paraId="1CDE0062" w14:textId="77777777" w:rsidR="006F1EE1" w:rsidRDefault="003806C1" w:rsidP="00A777F6">
      <w:pPr>
        <w:spacing w:after="0"/>
        <w:ind w:left="278" w:right="0"/>
      </w:pPr>
      <w:r>
        <w:t xml:space="preserve"> Roboty uznaje się za wykonane zgodnie z dokumentacją projektową, ST i wymaganiami Inżyniera, jeżeli wszystkie pomiary i badania z zachowaniem tolerancji wg pkt 6 dały wyniki pozytywne. </w:t>
      </w:r>
    </w:p>
    <w:p w14:paraId="0BC18027" w14:textId="77777777" w:rsidR="006F1EE1" w:rsidRDefault="003806C1" w:rsidP="00A777F6">
      <w:pPr>
        <w:pStyle w:val="Nagwek2"/>
        <w:spacing w:after="0"/>
        <w:ind w:left="278"/>
      </w:pPr>
      <w:r>
        <w:t xml:space="preserve">8.1.2. 8.2. Odbiór robót zanikających i ulegających zakryciu </w:t>
      </w:r>
    </w:p>
    <w:p w14:paraId="195E15C3" w14:textId="77777777" w:rsidR="006F1EE1" w:rsidRDefault="003806C1" w:rsidP="00A777F6">
      <w:pPr>
        <w:tabs>
          <w:tab w:val="center" w:pos="283"/>
          <w:tab w:val="center" w:pos="3286"/>
        </w:tabs>
        <w:spacing w:after="0"/>
        <w:ind w:left="0" w:right="0" w:firstLine="0"/>
        <w:jc w:val="left"/>
      </w:pPr>
      <w:r>
        <w:rPr>
          <w:rFonts w:ascii="Calibri" w:eastAsia="Calibri" w:hAnsi="Calibri" w:cs="Calibri"/>
          <w:sz w:val="22"/>
        </w:rPr>
        <w:tab/>
      </w:r>
      <w:r>
        <w:t xml:space="preserve"> </w:t>
      </w:r>
      <w:r>
        <w:tab/>
        <w:t xml:space="preserve">Odbiorowi robót zanikających i ulegających zakryciu podlegają: </w:t>
      </w:r>
    </w:p>
    <w:p w14:paraId="3B6821BD" w14:textId="77777777" w:rsidR="00997744" w:rsidRDefault="00997744" w:rsidP="00A777F6">
      <w:pPr>
        <w:spacing w:after="0" w:line="250" w:lineRule="auto"/>
        <w:ind w:left="284" w:right="5821" w:firstLine="0"/>
        <w:jc w:val="left"/>
      </w:pPr>
      <w:r>
        <w:rPr>
          <w:rFonts w:ascii="Segoe UI Symbol" w:eastAsia="Segoe UI Symbol" w:hAnsi="Segoe UI Symbol" w:cs="Segoe UI Symbol"/>
        </w:rPr>
        <w:t xml:space="preserve">- </w:t>
      </w:r>
      <w:r w:rsidR="003806C1">
        <w:t>wykonanie koryta pod</w:t>
      </w:r>
      <w:r>
        <w:t xml:space="preserve"> </w:t>
      </w:r>
      <w:r w:rsidR="003806C1">
        <w:t xml:space="preserve">chodnik, </w:t>
      </w:r>
    </w:p>
    <w:p w14:paraId="59D814D5" w14:textId="77777777" w:rsidR="00997744" w:rsidRDefault="00997744" w:rsidP="00A777F6">
      <w:pPr>
        <w:spacing w:after="0" w:line="250" w:lineRule="auto"/>
        <w:ind w:left="284" w:right="7830" w:firstLine="0"/>
        <w:jc w:val="left"/>
      </w:pPr>
      <w:r>
        <w:t>-</w:t>
      </w:r>
      <w:r w:rsidR="003806C1">
        <w:t xml:space="preserve"> wykonanie podbudowy</w:t>
      </w:r>
    </w:p>
    <w:p w14:paraId="49759927" w14:textId="4AD6F438" w:rsidR="006F1EE1" w:rsidRDefault="00997744" w:rsidP="00A777F6">
      <w:pPr>
        <w:spacing w:after="0" w:line="250" w:lineRule="auto"/>
        <w:ind w:left="284" w:right="7830" w:firstLine="0"/>
        <w:jc w:val="left"/>
      </w:pPr>
      <w:r>
        <w:t xml:space="preserve">- </w:t>
      </w:r>
      <w:r w:rsidR="003806C1">
        <w:t xml:space="preserve">wykonanie podsypki. </w:t>
      </w:r>
    </w:p>
    <w:p w14:paraId="3F8159AA" w14:textId="77777777" w:rsidR="006F1EE1" w:rsidRDefault="003806C1" w:rsidP="00A777F6">
      <w:pPr>
        <w:pStyle w:val="Nagwek1"/>
        <w:tabs>
          <w:tab w:val="center" w:pos="352"/>
          <w:tab w:val="center" w:pos="1686"/>
        </w:tabs>
        <w:spacing w:after="0"/>
        <w:ind w:left="0" w:firstLine="0"/>
      </w:pPr>
      <w:r>
        <w:rPr>
          <w:rFonts w:ascii="Calibri" w:eastAsia="Calibri" w:hAnsi="Calibri" w:cs="Calibri"/>
          <w:b w:val="0"/>
          <w:sz w:val="22"/>
        </w:rPr>
        <w:tab/>
      </w:r>
      <w:r>
        <w:t xml:space="preserve">9. </w:t>
      </w:r>
      <w:r>
        <w:tab/>
        <w:t xml:space="preserve">PODSTAWA PŁATNOŚCI </w:t>
      </w:r>
    </w:p>
    <w:p w14:paraId="6059A932" w14:textId="77777777" w:rsidR="006F1EE1" w:rsidRDefault="003806C1" w:rsidP="00A777F6">
      <w:pPr>
        <w:spacing w:after="0" w:line="259" w:lineRule="auto"/>
        <w:ind w:left="278" w:right="0"/>
        <w:jc w:val="left"/>
      </w:pPr>
      <w:r>
        <w:rPr>
          <w:b/>
        </w:rPr>
        <w:t xml:space="preserve">9.1.1. 9.1. Ogólne ustalenia dotyczące podstawy płatności </w:t>
      </w:r>
    </w:p>
    <w:p w14:paraId="6ABCC638" w14:textId="77777777" w:rsidR="006F1EE1" w:rsidRDefault="003806C1" w:rsidP="00A777F6">
      <w:pPr>
        <w:tabs>
          <w:tab w:val="center" w:pos="283"/>
          <w:tab w:val="center" w:pos="4751"/>
        </w:tabs>
        <w:spacing w:after="0"/>
        <w:ind w:left="0" w:right="0" w:firstLine="0"/>
        <w:jc w:val="left"/>
      </w:pPr>
      <w:r>
        <w:rPr>
          <w:rFonts w:ascii="Calibri" w:eastAsia="Calibri" w:hAnsi="Calibri" w:cs="Calibri"/>
          <w:sz w:val="22"/>
        </w:rPr>
        <w:tab/>
      </w:r>
      <w:r>
        <w:t xml:space="preserve"> </w:t>
      </w:r>
      <w:r>
        <w:tab/>
        <w:t xml:space="preserve">Ogólne ustalenia dotyczące podstawy płatności podano w ST D-M-00.00.00 „Wymagania ogólne” pkt 9. </w:t>
      </w:r>
    </w:p>
    <w:p w14:paraId="670D3120" w14:textId="77777777" w:rsidR="006F1EE1" w:rsidRDefault="003806C1" w:rsidP="00A777F6">
      <w:pPr>
        <w:pStyle w:val="Nagwek2"/>
        <w:spacing w:after="0"/>
        <w:ind w:left="278"/>
      </w:pPr>
      <w:r>
        <w:t xml:space="preserve">9.1.2. 9.2. Cena jednostki obmiarowej </w:t>
      </w:r>
    </w:p>
    <w:p w14:paraId="00229037" w14:textId="77777777" w:rsidR="006F1EE1" w:rsidRDefault="003806C1" w:rsidP="00A777F6">
      <w:pPr>
        <w:tabs>
          <w:tab w:val="center" w:pos="283"/>
          <w:tab w:val="center" w:pos="3364"/>
        </w:tabs>
        <w:spacing w:after="0"/>
        <w:ind w:left="0" w:right="0" w:firstLine="0"/>
        <w:jc w:val="left"/>
      </w:pPr>
      <w:r>
        <w:rPr>
          <w:rFonts w:ascii="Calibri" w:eastAsia="Calibri" w:hAnsi="Calibri" w:cs="Calibri"/>
          <w:sz w:val="22"/>
        </w:rPr>
        <w:tab/>
      </w:r>
      <w:r>
        <w:t xml:space="preserve"> </w:t>
      </w:r>
      <w:r>
        <w:tab/>
        <w:t>Cena wykonania 1m</w:t>
      </w:r>
      <w:r>
        <w:rPr>
          <w:vertAlign w:val="superscript"/>
        </w:rPr>
        <w:t>2</w:t>
      </w:r>
      <w:r>
        <w:t xml:space="preserve">chodnika z płytek wskaźnikowych obejmuje: </w:t>
      </w:r>
    </w:p>
    <w:p w14:paraId="49033D8F" w14:textId="24D9CCB0" w:rsidR="006F1EE1" w:rsidRDefault="00365CDC" w:rsidP="00A777F6">
      <w:pPr>
        <w:spacing w:after="0"/>
        <w:ind w:left="551" w:right="0" w:firstLine="0"/>
      </w:pPr>
      <w:r>
        <w:t xml:space="preserve">- </w:t>
      </w:r>
      <w:r w:rsidR="003806C1">
        <w:t xml:space="preserve">prace pomiarowe i roboty przygotowawcze, </w:t>
      </w:r>
    </w:p>
    <w:p w14:paraId="1C5D7DE8" w14:textId="528E3B7A" w:rsidR="006F1EE1" w:rsidRDefault="00365CDC" w:rsidP="00A777F6">
      <w:pPr>
        <w:spacing w:after="0"/>
        <w:ind w:left="551" w:right="0" w:firstLine="0"/>
      </w:pPr>
      <w:r>
        <w:t xml:space="preserve">- </w:t>
      </w:r>
      <w:r w:rsidR="003806C1">
        <w:t xml:space="preserve">oznakowanie robót, </w:t>
      </w:r>
    </w:p>
    <w:p w14:paraId="49B3DECF" w14:textId="358C925C" w:rsidR="006F1EE1" w:rsidRDefault="00365CDC" w:rsidP="00A777F6">
      <w:pPr>
        <w:spacing w:after="0"/>
        <w:ind w:left="551" w:right="0" w:firstLine="0"/>
      </w:pPr>
      <w:r>
        <w:t xml:space="preserve">- </w:t>
      </w:r>
      <w:r w:rsidR="003806C1">
        <w:t xml:space="preserve">zakup i dostarczenie materiałów </w:t>
      </w:r>
    </w:p>
    <w:p w14:paraId="14778784" w14:textId="0FAEE3B1" w:rsidR="006F1EE1" w:rsidRDefault="00365CDC" w:rsidP="00A777F6">
      <w:pPr>
        <w:spacing w:after="0"/>
        <w:ind w:left="551" w:right="0" w:firstLine="0"/>
      </w:pPr>
      <w:r>
        <w:t xml:space="preserve">- </w:t>
      </w:r>
      <w:r w:rsidR="003806C1">
        <w:t>ułożenie i zagęszczenie</w:t>
      </w:r>
      <w:r w:rsidR="00A34F47">
        <w:t xml:space="preserve"> warstwy odsączającej, podbudowy i</w:t>
      </w:r>
      <w:r w:rsidR="003806C1">
        <w:t xml:space="preserve"> podsypki </w:t>
      </w:r>
    </w:p>
    <w:p w14:paraId="48967E09" w14:textId="275B6951" w:rsidR="006F1EE1" w:rsidRDefault="00365CDC" w:rsidP="00A777F6">
      <w:pPr>
        <w:spacing w:after="0"/>
        <w:ind w:left="551" w:right="0" w:firstLine="0"/>
      </w:pPr>
      <w:r>
        <w:t xml:space="preserve">- </w:t>
      </w:r>
      <w:r w:rsidR="003806C1">
        <w:t xml:space="preserve">ułożenie i ubicie płytek </w:t>
      </w:r>
    </w:p>
    <w:p w14:paraId="506E0A1E" w14:textId="78E41CB8" w:rsidR="006F1EE1" w:rsidRDefault="00365CDC" w:rsidP="00A777F6">
      <w:pPr>
        <w:spacing w:after="0"/>
        <w:ind w:left="551" w:right="0" w:firstLine="0"/>
      </w:pPr>
      <w:r>
        <w:t xml:space="preserve">- </w:t>
      </w:r>
      <w:r w:rsidR="003806C1">
        <w:t xml:space="preserve">wypełnienie spoin, oczyszczenie i pielęgnację nawierzchni, </w:t>
      </w:r>
    </w:p>
    <w:p w14:paraId="2886FB7D" w14:textId="622EA5F1" w:rsidR="006F1EE1" w:rsidRDefault="00365CDC" w:rsidP="00A777F6">
      <w:pPr>
        <w:spacing w:after="0"/>
        <w:ind w:left="551" w:right="0" w:firstLine="0"/>
      </w:pPr>
      <w:r>
        <w:t xml:space="preserve">- </w:t>
      </w:r>
      <w:r w:rsidR="003806C1">
        <w:t xml:space="preserve">przeprowadzenie badań i pomiarów wymaganych w specyfikacji technicznej. </w:t>
      </w:r>
    </w:p>
    <w:p w14:paraId="5D6AB50A" w14:textId="77777777" w:rsidR="006F1EE1" w:rsidRDefault="003806C1" w:rsidP="00A777F6">
      <w:pPr>
        <w:pStyle w:val="Nagwek1"/>
        <w:spacing w:after="0"/>
        <w:ind w:left="278"/>
      </w:pPr>
      <w:r>
        <w:t xml:space="preserve">10. PRZEPISY ZWIĄZANE </w:t>
      </w:r>
    </w:p>
    <w:p w14:paraId="61B0172C" w14:textId="77777777" w:rsidR="006F1EE1" w:rsidRDefault="003806C1" w:rsidP="00A777F6">
      <w:pPr>
        <w:pStyle w:val="Nagwek2"/>
        <w:tabs>
          <w:tab w:val="center" w:pos="467"/>
          <w:tab w:val="center" w:pos="1255"/>
        </w:tabs>
        <w:spacing w:after="0"/>
        <w:ind w:left="0" w:firstLine="0"/>
      </w:pPr>
      <w:r>
        <w:rPr>
          <w:rFonts w:ascii="Calibri" w:eastAsia="Calibri" w:hAnsi="Calibri" w:cs="Calibri"/>
          <w:b w:val="0"/>
          <w:sz w:val="22"/>
        </w:rPr>
        <w:tab/>
      </w:r>
      <w:r>
        <w:t xml:space="preserve">10.1. </w:t>
      </w:r>
      <w:r>
        <w:tab/>
        <w:t xml:space="preserve">Normy </w:t>
      </w:r>
    </w:p>
    <w:p w14:paraId="3B75EB52" w14:textId="77777777" w:rsidR="006F1EE1" w:rsidRDefault="003806C1" w:rsidP="00A777F6">
      <w:pPr>
        <w:numPr>
          <w:ilvl w:val="0"/>
          <w:numId w:val="7"/>
        </w:numPr>
        <w:spacing w:after="0"/>
        <w:ind w:right="0" w:hanging="360"/>
      </w:pPr>
      <w:r>
        <w:t xml:space="preserve">PN-EN 1339 Betonowe płyty brukowe. Wymagania i metody badań </w:t>
      </w:r>
    </w:p>
    <w:p w14:paraId="35D177B1" w14:textId="77777777" w:rsidR="006F1EE1" w:rsidRDefault="003806C1" w:rsidP="00A777F6">
      <w:pPr>
        <w:numPr>
          <w:ilvl w:val="0"/>
          <w:numId w:val="7"/>
        </w:numPr>
        <w:spacing w:after="0"/>
        <w:ind w:right="0" w:hanging="360"/>
      </w:pPr>
      <w:r>
        <w:t xml:space="preserve">PN-EN 206-1 Beton. Część 1: Wymagania, właściwości, produkcja i zgodność. </w:t>
      </w:r>
    </w:p>
    <w:p w14:paraId="3FE97F0B" w14:textId="77777777" w:rsidR="006F1EE1" w:rsidRDefault="003806C1" w:rsidP="00A777F6">
      <w:pPr>
        <w:numPr>
          <w:ilvl w:val="0"/>
          <w:numId w:val="7"/>
        </w:numPr>
        <w:spacing w:after="0"/>
        <w:ind w:right="0" w:hanging="360"/>
      </w:pPr>
      <w:r>
        <w:t xml:space="preserve">PN-B-06250 Beton zwykły </w:t>
      </w:r>
    </w:p>
    <w:p w14:paraId="7BBB963E" w14:textId="77777777" w:rsidR="006F1EE1" w:rsidRDefault="003806C1" w:rsidP="00A777F6">
      <w:pPr>
        <w:numPr>
          <w:ilvl w:val="0"/>
          <w:numId w:val="7"/>
        </w:numPr>
        <w:spacing w:after="0"/>
        <w:ind w:right="0" w:hanging="360"/>
      </w:pPr>
      <w:r>
        <w:t xml:space="preserve">PN-EN 197-1Cement. Część 1: Skład, wymagania i kryteria zgodności dotyczące cementu powszechnego użytku </w:t>
      </w:r>
    </w:p>
    <w:p w14:paraId="667FD324" w14:textId="77777777" w:rsidR="006F1EE1" w:rsidRDefault="003806C1" w:rsidP="00A777F6">
      <w:pPr>
        <w:numPr>
          <w:ilvl w:val="0"/>
          <w:numId w:val="7"/>
        </w:numPr>
        <w:spacing w:after="0"/>
        <w:ind w:right="0" w:hanging="360"/>
      </w:pPr>
      <w:r>
        <w:t xml:space="preserve">PN-EN 13043Kruszywa do mieszanek bitumicznych i powierzchniowych utrwaleń stosowanych na drogach, lotniskach i innych powierzchniach przeznaczonych do ruchu </w:t>
      </w:r>
    </w:p>
    <w:p w14:paraId="50D3E76A" w14:textId="77777777" w:rsidR="006F1EE1" w:rsidRDefault="003806C1" w:rsidP="00A777F6">
      <w:pPr>
        <w:numPr>
          <w:ilvl w:val="0"/>
          <w:numId w:val="7"/>
        </w:numPr>
        <w:spacing w:after="0"/>
        <w:ind w:right="0" w:hanging="360"/>
      </w:pPr>
      <w:r>
        <w:lastRenderedPageBreak/>
        <w:t xml:space="preserve">PN-EN 1008 Woda zarobowa do betonu. Specyfikacja pobierania próbek, badanie i ocena przydatności wody zarobowej do betonu, w tym wody odzyskanej z procesów produkcji betonu. [7] DIN 32984 Bodenindikatoren im öffentlichenRaum </w:t>
      </w:r>
    </w:p>
    <w:p w14:paraId="6C61B774" w14:textId="77777777" w:rsidR="006F1EE1" w:rsidRDefault="003806C1" w:rsidP="00A777F6">
      <w:pPr>
        <w:numPr>
          <w:ilvl w:val="0"/>
          <w:numId w:val="8"/>
        </w:numPr>
        <w:spacing w:after="0"/>
        <w:ind w:left="993" w:right="1827" w:hanging="350"/>
      </w:pPr>
      <w:r>
        <w:t xml:space="preserve">DIN 51130 Prűfung von Bodenbelägen - Bestimmung der rutschhemmenden Eingenschaft – Arbeitsräume und Arbeitsbereche mit Rutschgefahr, Begehungsverfahren – Schiefe Ebene </w:t>
      </w:r>
    </w:p>
    <w:p w14:paraId="7BC7D732" w14:textId="77777777" w:rsidR="006F1EE1" w:rsidRDefault="003806C1" w:rsidP="00A777F6">
      <w:pPr>
        <w:numPr>
          <w:ilvl w:val="0"/>
          <w:numId w:val="8"/>
        </w:numPr>
        <w:spacing w:after="0"/>
        <w:ind w:left="993" w:right="1827" w:hanging="350"/>
      </w:pPr>
      <w:r>
        <w:t xml:space="preserve">DIN V 18500: Betonwerkstein - Begriffe, Anforderung,. Prüfung, Überwachung [10]  EN 13748-2:2004 </w:t>
      </w:r>
    </w:p>
    <w:p w14:paraId="3C979552" w14:textId="77777777" w:rsidR="006F1EE1" w:rsidRDefault="003806C1" w:rsidP="00A777F6">
      <w:pPr>
        <w:spacing w:after="0"/>
        <w:ind w:left="653" w:right="0"/>
      </w:pPr>
      <w:r>
        <w:t xml:space="preserve">[11] PN EN 206-1 </w:t>
      </w:r>
    </w:p>
    <w:sectPr w:rsidR="006F1EE1">
      <w:headerReference w:type="even" r:id="rId23"/>
      <w:headerReference w:type="default" r:id="rId24"/>
      <w:headerReference w:type="first" r:id="rId25"/>
      <w:pgSz w:w="11909" w:h="16838"/>
      <w:pgMar w:top="1858" w:right="701" w:bottom="1144" w:left="567" w:header="108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AE28E" w14:textId="77777777" w:rsidR="00640DD7" w:rsidRDefault="00640DD7">
      <w:pPr>
        <w:spacing w:after="0" w:line="240" w:lineRule="auto"/>
      </w:pPr>
      <w:r>
        <w:separator/>
      </w:r>
    </w:p>
  </w:endnote>
  <w:endnote w:type="continuationSeparator" w:id="0">
    <w:p w14:paraId="28BA9E6F" w14:textId="77777777" w:rsidR="00640DD7" w:rsidRDefault="00640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EAD45" w14:textId="77777777" w:rsidR="00640DD7" w:rsidRDefault="00640DD7">
      <w:pPr>
        <w:spacing w:after="0" w:line="240" w:lineRule="auto"/>
      </w:pPr>
      <w:r>
        <w:separator/>
      </w:r>
    </w:p>
  </w:footnote>
  <w:footnote w:type="continuationSeparator" w:id="0">
    <w:p w14:paraId="4CCF361C" w14:textId="77777777" w:rsidR="00640DD7" w:rsidRDefault="00640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A9BEA" w14:textId="77777777" w:rsidR="006F1EE1" w:rsidRDefault="003806C1">
    <w:pPr>
      <w:spacing w:after="0" w:line="259" w:lineRule="auto"/>
      <w:ind w:left="283"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EDB3BA7" wp14:editId="0B8C1E82">
              <wp:simplePos x="0" y="0"/>
              <wp:positionH relativeFrom="page">
                <wp:posOffset>801929</wp:posOffset>
              </wp:positionH>
              <wp:positionV relativeFrom="page">
                <wp:posOffset>984759</wp:posOffset>
              </wp:positionV>
              <wp:extent cx="5141011" cy="9144"/>
              <wp:effectExtent l="0" t="0" r="0" b="0"/>
              <wp:wrapSquare wrapText="bothSides"/>
              <wp:docPr id="18353" name="Group 18353"/>
              <wp:cNvGraphicFramePr/>
              <a:graphic xmlns:a="http://schemas.openxmlformats.org/drawingml/2006/main">
                <a:graphicData uri="http://schemas.microsoft.com/office/word/2010/wordprocessingGroup">
                  <wpg:wgp>
                    <wpg:cNvGrpSpPr/>
                    <wpg:grpSpPr>
                      <a:xfrm>
                        <a:off x="0" y="0"/>
                        <a:ext cx="5141011" cy="9144"/>
                        <a:chOff x="0" y="0"/>
                        <a:chExt cx="5141011" cy="9144"/>
                      </a:xfrm>
                    </wpg:grpSpPr>
                    <wps:wsp>
                      <wps:cNvPr id="19026" name="Shape 19026"/>
                      <wps:cNvSpPr/>
                      <wps:spPr>
                        <a:xfrm>
                          <a:off x="0" y="0"/>
                          <a:ext cx="817169" cy="9144"/>
                        </a:xfrm>
                        <a:custGeom>
                          <a:avLst/>
                          <a:gdLst/>
                          <a:ahLst/>
                          <a:cxnLst/>
                          <a:rect l="0" t="0" r="0" b="0"/>
                          <a:pathLst>
                            <a:path w="817169" h="9144">
                              <a:moveTo>
                                <a:pt x="0" y="0"/>
                              </a:moveTo>
                              <a:lnTo>
                                <a:pt x="817169" y="0"/>
                              </a:lnTo>
                              <a:lnTo>
                                <a:pt x="8171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27" name="Shape 19027"/>
                      <wps:cNvSpPr/>
                      <wps:spPr>
                        <a:xfrm>
                          <a:off x="8080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28" name="Shape 19028"/>
                      <wps:cNvSpPr/>
                      <wps:spPr>
                        <a:xfrm>
                          <a:off x="817194" y="0"/>
                          <a:ext cx="3064510" cy="9144"/>
                        </a:xfrm>
                        <a:custGeom>
                          <a:avLst/>
                          <a:gdLst/>
                          <a:ahLst/>
                          <a:cxnLst/>
                          <a:rect l="0" t="0" r="0" b="0"/>
                          <a:pathLst>
                            <a:path w="3064510" h="9144">
                              <a:moveTo>
                                <a:pt x="0" y="0"/>
                              </a:moveTo>
                              <a:lnTo>
                                <a:pt x="3064510" y="0"/>
                              </a:lnTo>
                              <a:lnTo>
                                <a:pt x="30645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29" name="Shape 19029"/>
                      <wps:cNvSpPr/>
                      <wps:spPr>
                        <a:xfrm>
                          <a:off x="387243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30" name="Shape 19030"/>
                      <wps:cNvSpPr/>
                      <wps:spPr>
                        <a:xfrm>
                          <a:off x="3881577" y="0"/>
                          <a:ext cx="1259434" cy="9144"/>
                        </a:xfrm>
                        <a:custGeom>
                          <a:avLst/>
                          <a:gdLst/>
                          <a:ahLst/>
                          <a:cxnLst/>
                          <a:rect l="0" t="0" r="0" b="0"/>
                          <a:pathLst>
                            <a:path w="1259434" h="9144">
                              <a:moveTo>
                                <a:pt x="0" y="0"/>
                              </a:moveTo>
                              <a:lnTo>
                                <a:pt x="1259434" y="0"/>
                              </a:lnTo>
                              <a:lnTo>
                                <a:pt x="12594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8353" style="width:404.804pt;height:0.719971pt;position:absolute;mso-position-horizontal-relative:page;mso-position-horizontal:absolute;margin-left:63.144pt;mso-position-vertical-relative:page;margin-top:77.54pt;" coordsize="51410,91">
              <v:shape id="Shape 19031" style="position:absolute;width:8171;height:91;left:0;top:0;" coordsize="817169,9144" path="m0,0l817169,0l817169,9144l0,9144l0,0">
                <v:stroke weight="0pt" endcap="flat" joinstyle="miter" miterlimit="10" on="false" color="#000000" opacity="0"/>
                <v:fill on="true" color="#000000"/>
              </v:shape>
              <v:shape id="Shape 19032" style="position:absolute;width:91;height:91;left:8080;top:0;" coordsize="9144,9144" path="m0,0l9144,0l9144,9144l0,9144l0,0">
                <v:stroke weight="0pt" endcap="flat" joinstyle="miter" miterlimit="10" on="false" color="#000000" opacity="0"/>
                <v:fill on="true" color="#000000"/>
              </v:shape>
              <v:shape id="Shape 19033" style="position:absolute;width:30645;height:91;left:8171;top:0;" coordsize="3064510,9144" path="m0,0l3064510,0l3064510,9144l0,9144l0,0">
                <v:stroke weight="0pt" endcap="flat" joinstyle="miter" miterlimit="10" on="false" color="#000000" opacity="0"/>
                <v:fill on="true" color="#000000"/>
              </v:shape>
              <v:shape id="Shape 19034" style="position:absolute;width:91;height:91;left:38724;top:0;" coordsize="9144,9144" path="m0,0l9144,0l9144,9144l0,9144l0,0">
                <v:stroke weight="0pt" endcap="flat" joinstyle="miter" miterlimit="10" on="false" color="#000000" opacity="0"/>
                <v:fill on="true" color="#000000"/>
              </v:shape>
              <v:shape id="Shape 19035" style="position:absolute;width:12594;height:91;left:38815;top:0;" coordsize="1259434,9144" path="m0,0l1259434,0l1259434,9144l0,9144l0,0">
                <v:stroke weight="0pt" endcap="flat" joinstyle="miter" miterlimit="10" on="false" color="#000000" opacity="0"/>
                <v:fill on="true" color="#000000"/>
              </v:shape>
              <w10:wrap type="square"/>
            </v:group>
          </w:pict>
        </mc:Fallback>
      </mc:AlternateContent>
    </w:r>
    <w:r>
      <w:rPr>
        <w:rFonts w:ascii="Century Gothic" w:eastAsia="Century Gothic" w:hAnsi="Century Gothic" w:cs="Century Gothic"/>
        <w:sz w:val="24"/>
      </w:rPr>
      <w:t xml:space="preserve"> </w:t>
    </w:r>
  </w:p>
  <w:p w14:paraId="4C3C647B" w14:textId="77777777" w:rsidR="006F1EE1" w:rsidRDefault="003806C1">
    <w:pPr>
      <w:tabs>
        <w:tab w:val="center" w:pos="1259"/>
        <w:tab w:val="center" w:pos="3242"/>
        <w:tab w:val="center" w:pos="6876"/>
      </w:tabs>
      <w:spacing w:after="75" w:line="259" w:lineRule="auto"/>
      <w:ind w:left="0" w:right="0" w:firstLine="0"/>
      <w:jc w:val="left"/>
    </w:pPr>
    <w:r>
      <w:rPr>
        <w:rFonts w:ascii="Calibri" w:eastAsia="Calibri" w:hAnsi="Calibri" w:cs="Calibri"/>
        <w:sz w:val="22"/>
      </w:rPr>
      <w:tab/>
    </w:r>
    <w:r>
      <w:rPr>
        <w:rFonts w:ascii="Times New Roman" w:eastAsia="Times New Roman" w:hAnsi="Times New Roman" w:cs="Times New Roman"/>
        <w:i/>
        <w:sz w:val="19"/>
      </w:rPr>
      <w:t>D-</w:t>
    </w:r>
    <w:r>
      <w:rPr>
        <w:rFonts w:ascii="Times New Roman" w:eastAsia="Times New Roman" w:hAnsi="Times New Roman" w:cs="Times New Roman"/>
        <w:sz w:val="19"/>
      </w:rPr>
      <w:t>08.02.01a</w:t>
    </w:r>
    <w:r>
      <w:rPr>
        <w:rFonts w:ascii="Century Gothic" w:eastAsia="Century Gothic" w:hAnsi="Century Gothic" w:cs="Century Gothic"/>
        <w:sz w:val="19"/>
      </w:rPr>
      <w:t xml:space="preserve"> </w:t>
    </w:r>
    <w:r>
      <w:rPr>
        <w:rFonts w:ascii="Century Gothic" w:eastAsia="Century Gothic" w:hAnsi="Century Gothic" w:cs="Century Gothic"/>
        <w:sz w:val="19"/>
      </w:rPr>
      <w:tab/>
    </w:r>
    <w:r>
      <w:rPr>
        <w:rFonts w:ascii="Times New Roman" w:eastAsia="Times New Roman" w:hAnsi="Times New Roman" w:cs="Times New Roman"/>
        <w:i/>
        <w:sz w:val="19"/>
      </w:rPr>
      <w:t>Chodniki z płyt wskaźnikowych</w:t>
    </w:r>
    <w:r>
      <w:rPr>
        <w:rFonts w:ascii="Century Gothic" w:eastAsia="Century Gothic" w:hAnsi="Century Gothic" w:cs="Century Gothic"/>
        <w:sz w:val="19"/>
      </w:rPr>
      <w:t xml:space="preserve"> </w:t>
    </w:r>
    <w:r>
      <w:rPr>
        <w:rFonts w:ascii="Century Gothic" w:eastAsia="Century Gothic" w:hAnsi="Century Gothic" w:cs="Century Gothic"/>
        <w:sz w:val="19"/>
      </w:rPr>
      <w:tab/>
      <w:t xml:space="preserve"> </w:t>
    </w:r>
  </w:p>
  <w:p w14:paraId="43E7A1EB" w14:textId="77777777" w:rsidR="006F1EE1" w:rsidRDefault="003806C1">
    <w:pPr>
      <w:spacing w:after="0" w:line="259" w:lineRule="auto"/>
      <w:ind w:left="283" w:right="0" w:firstLine="0"/>
      <w:jc w:val="left"/>
    </w:pPr>
    <w:r>
      <w:rPr>
        <w:rFonts w:ascii="Century Gothic" w:eastAsia="Century Gothic" w:hAnsi="Century Gothic" w:cs="Century Gothic"/>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52837" w14:textId="77777777" w:rsidR="006F1EE1" w:rsidRDefault="003806C1">
    <w:pPr>
      <w:spacing w:after="0" w:line="259" w:lineRule="auto"/>
      <w:ind w:left="283"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197B147B" wp14:editId="21CD6F74">
              <wp:simplePos x="0" y="0"/>
              <wp:positionH relativeFrom="page">
                <wp:posOffset>801929</wp:posOffset>
              </wp:positionH>
              <wp:positionV relativeFrom="page">
                <wp:posOffset>984759</wp:posOffset>
              </wp:positionV>
              <wp:extent cx="5141011" cy="9144"/>
              <wp:effectExtent l="0" t="0" r="0" b="0"/>
              <wp:wrapSquare wrapText="bothSides"/>
              <wp:docPr id="18326" name="Group 18326"/>
              <wp:cNvGraphicFramePr/>
              <a:graphic xmlns:a="http://schemas.openxmlformats.org/drawingml/2006/main">
                <a:graphicData uri="http://schemas.microsoft.com/office/word/2010/wordprocessingGroup">
                  <wpg:wgp>
                    <wpg:cNvGrpSpPr/>
                    <wpg:grpSpPr>
                      <a:xfrm>
                        <a:off x="0" y="0"/>
                        <a:ext cx="5141011" cy="9144"/>
                        <a:chOff x="0" y="0"/>
                        <a:chExt cx="5141011" cy="9144"/>
                      </a:xfrm>
                    </wpg:grpSpPr>
                    <wps:wsp>
                      <wps:cNvPr id="19016" name="Shape 19016"/>
                      <wps:cNvSpPr/>
                      <wps:spPr>
                        <a:xfrm>
                          <a:off x="0" y="0"/>
                          <a:ext cx="817169" cy="9144"/>
                        </a:xfrm>
                        <a:custGeom>
                          <a:avLst/>
                          <a:gdLst/>
                          <a:ahLst/>
                          <a:cxnLst/>
                          <a:rect l="0" t="0" r="0" b="0"/>
                          <a:pathLst>
                            <a:path w="817169" h="9144">
                              <a:moveTo>
                                <a:pt x="0" y="0"/>
                              </a:moveTo>
                              <a:lnTo>
                                <a:pt x="817169" y="0"/>
                              </a:lnTo>
                              <a:lnTo>
                                <a:pt x="8171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17" name="Shape 19017"/>
                      <wps:cNvSpPr/>
                      <wps:spPr>
                        <a:xfrm>
                          <a:off x="8080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18" name="Shape 19018"/>
                      <wps:cNvSpPr/>
                      <wps:spPr>
                        <a:xfrm>
                          <a:off x="817194" y="0"/>
                          <a:ext cx="3064510" cy="9144"/>
                        </a:xfrm>
                        <a:custGeom>
                          <a:avLst/>
                          <a:gdLst/>
                          <a:ahLst/>
                          <a:cxnLst/>
                          <a:rect l="0" t="0" r="0" b="0"/>
                          <a:pathLst>
                            <a:path w="3064510" h="9144">
                              <a:moveTo>
                                <a:pt x="0" y="0"/>
                              </a:moveTo>
                              <a:lnTo>
                                <a:pt x="3064510" y="0"/>
                              </a:lnTo>
                              <a:lnTo>
                                <a:pt x="30645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19" name="Shape 19019"/>
                      <wps:cNvSpPr/>
                      <wps:spPr>
                        <a:xfrm>
                          <a:off x="387243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20" name="Shape 19020"/>
                      <wps:cNvSpPr/>
                      <wps:spPr>
                        <a:xfrm>
                          <a:off x="3881577" y="0"/>
                          <a:ext cx="1259434" cy="9144"/>
                        </a:xfrm>
                        <a:custGeom>
                          <a:avLst/>
                          <a:gdLst/>
                          <a:ahLst/>
                          <a:cxnLst/>
                          <a:rect l="0" t="0" r="0" b="0"/>
                          <a:pathLst>
                            <a:path w="1259434" h="9144">
                              <a:moveTo>
                                <a:pt x="0" y="0"/>
                              </a:moveTo>
                              <a:lnTo>
                                <a:pt x="1259434" y="0"/>
                              </a:lnTo>
                              <a:lnTo>
                                <a:pt x="12594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8326" style="width:404.804pt;height:0.719971pt;position:absolute;mso-position-horizontal-relative:page;mso-position-horizontal:absolute;margin-left:63.144pt;mso-position-vertical-relative:page;margin-top:77.54pt;" coordsize="51410,91">
              <v:shape id="Shape 19021" style="position:absolute;width:8171;height:91;left:0;top:0;" coordsize="817169,9144" path="m0,0l817169,0l817169,9144l0,9144l0,0">
                <v:stroke weight="0pt" endcap="flat" joinstyle="miter" miterlimit="10" on="false" color="#000000" opacity="0"/>
                <v:fill on="true" color="#000000"/>
              </v:shape>
              <v:shape id="Shape 19022" style="position:absolute;width:91;height:91;left:8080;top:0;" coordsize="9144,9144" path="m0,0l9144,0l9144,9144l0,9144l0,0">
                <v:stroke weight="0pt" endcap="flat" joinstyle="miter" miterlimit="10" on="false" color="#000000" opacity="0"/>
                <v:fill on="true" color="#000000"/>
              </v:shape>
              <v:shape id="Shape 19023" style="position:absolute;width:30645;height:91;left:8171;top:0;" coordsize="3064510,9144" path="m0,0l3064510,0l3064510,9144l0,9144l0,0">
                <v:stroke weight="0pt" endcap="flat" joinstyle="miter" miterlimit="10" on="false" color="#000000" opacity="0"/>
                <v:fill on="true" color="#000000"/>
              </v:shape>
              <v:shape id="Shape 19024" style="position:absolute;width:91;height:91;left:38724;top:0;" coordsize="9144,9144" path="m0,0l9144,0l9144,9144l0,9144l0,0">
                <v:stroke weight="0pt" endcap="flat" joinstyle="miter" miterlimit="10" on="false" color="#000000" opacity="0"/>
                <v:fill on="true" color="#000000"/>
              </v:shape>
              <v:shape id="Shape 19025" style="position:absolute;width:12594;height:91;left:38815;top:0;" coordsize="1259434,9144" path="m0,0l1259434,0l1259434,9144l0,9144l0,0">
                <v:stroke weight="0pt" endcap="flat" joinstyle="miter" miterlimit="10" on="false" color="#000000" opacity="0"/>
                <v:fill on="true" color="#000000"/>
              </v:shape>
              <w10:wrap type="square"/>
            </v:group>
          </w:pict>
        </mc:Fallback>
      </mc:AlternateContent>
    </w:r>
    <w:r>
      <w:rPr>
        <w:rFonts w:ascii="Century Gothic" w:eastAsia="Century Gothic" w:hAnsi="Century Gothic" w:cs="Century Gothic"/>
        <w:sz w:val="24"/>
      </w:rPr>
      <w:t xml:space="preserve"> </w:t>
    </w:r>
  </w:p>
  <w:p w14:paraId="53E488D1" w14:textId="6734FEB4" w:rsidR="006F1EE1" w:rsidRDefault="003806C1">
    <w:pPr>
      <w:tabs>
        <w:tab w:val="center" w:pos="1259"/>
        <w:tab w:val="center" w:pos="3242"/>
        <w:tab w:val="center" w:pos="6876"/>
      </w:tabs>
      <w:spacing w:after="75" w:line="259" w:lineRule="auto"/>
      <w:ind w:left="0" w:right="0" w:firstLine="0"/>
      <w:jc w:val="left"/>
    </w:pPr>
    <w:r>
      <w:rPr>
        <w:rFonts w:ascii="Calibri" w:eastAsia="Calibri" w:hAnsi="Calibri" w:cs="Calibri"/>
        <w:sz w:val="22"/>
      </w:rPr>
      <w:tab/>
    </w:r>
    <w:r>
      <w:rPr>
        <w:rFonts w:ascii="Times New Roman" w:eastAsia="Times New Roman" w:hAnsi="Times New Roman" w:cs="Times New Roman"/>
        <w:i/>
        <w:sz w:val="19"/>
      </w:rPr>
      <w:t>D-</w:t>
    </w:r>
    <w:r>
      <w:rPr>
        <w:rFonts w:ascii="Times New Roman" w:eastAsia="Times New Roman" w:hAnsi="Times New Roman" w:cs="Times New Roman"/>
        <w:sz w:val="19"/>
      </w:rPr>
      <w:t>08.02.01a</w:t>
    </w:r>
    <w:r>
      <w:rPr>
        <w:rFonts w:ascii="Century Gothic" w:eastAsia="Century Gothic" w:hAnsi="Century Gothic" w:cs="Century Gothic"/>
        <w:sz w:val="19"/>
      </w:rPr>
      <w:t xml:space="preserve"> </w:t>
    </w:r>
    <w:r>
      <w:rPr>
        <w:rFonts w:ascii="Century Gothic" w:eastAsia="Century Gothic" w:hAnsi="Century Gothic" w:cs="Century Gothic"/>
        <w:sz w:val="19"/>
      </w:rPr>
      <w:tab/>
    </w:r>
    <w:r w:rsidR="0008411B" w:rsidRPr="0008411B">
      <w:rPr>
        <w:rFonts w:ascii="Times New Roman" w:eastAsia="Times New Roman" w:hAnsi="Times New Roman" w:cs="Times New Roman"/>
        <w:i/>
        <w:sz w:val="19"/>
      </w:rPr>
      <w:t xml:space="preserve">NAWIERZCHNIE Z PŁYTEK </w:t>
    </w:r>
    <w:r w:rsidR="0008411B">
      <w:rPr>
        <w:rFonts w:ascii="Times New Roman" w:eastAsia="Times New Roman" w:hAnsi="Times New Roman" w:cs="Times New Roman"/>
        <w:i/>
        <w:sz w:val="19"/>
      </w:rPr>
      <w:t>WSKAŹNIKOWYCH</w:t>
    </w:r>
    <w:r w:rsidR="0008411B">
      <w:rPr>
        <w:rFonts w:ascii="Century Gothic" w:eastAsia="Century Gothic" w:hAnsi="Century Gothic" w:cs="Century Gothic"/>
        <w:sz w:val="19"/>
      </w:rPr>
      <w:t xml:space="preserve"> </w:t>
    </w:r>
    <w:r>
      <w:rPr>
        <w:rFonts w:ascii="Century Gothic" w:eastAsia="Century Gothic" w:hAnsi="Century Gothic" w:cs="Century Gothic"/>
        <w:sz w:val="19"/>
      </w:rPr>
      <w:tab/>
      <w:t xml:space="preserve"> </w:t>
    </w:r>
  </w:p>
  <w:p w14:paraId="016194AB" w14:textId="77777777" w:rsidR="006F1EE1" w:rsidRDefault="003806C1">
    <w:pPr>
      <w:spacing w:after="0" w:line="259" w:lineRule="auto"/>
      <w:ind w:left="283" w:right="0" w:firstLine="0"/>
      <w:jc w:val="left"/>
    </w:pPr>
    <w:r>
      <w:rPr>
        <w:rFonts w:ascii="Century Gothic" w:eastAsia="Century Gothic" w:hAnsi="Century Gothic" w:cs="Century Gothic"/>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23C74" w14:textId="77777777" w:rsidR="006F1EE1" w:rsidRDefault="003806C1">
    <w:pPr>
      <w:spacing w:after="0" w:line="259" w:lineRule="auto"/>
      <w:ind w:left="283"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61397487" wp14:editId="74385281">
              <wp:simplePos x="0" y="0"/>
              <wp:positionH relativeFrom="page">
                <wp:posOffset>801929</wp:posOffset>
              </wp:positionH>
              <wp:positionV relativeFrom="page">
                <wp:posOffset>984759</wp:posOffset>
              </wp:positionV>
              <wp:extent cx="5141011" cy="9144"/>
              <wp:effectExtent l="0" t="0" r="0" b="0"/>
              <wp:wrapSquare wrapText="bothSides"/>
              <wp:docPr id="18299" name="Group 18299"/>
              <wp:cNvGraphicFramePr/>
              <a:graphic xmlns:a="http://schemas.openxmlformats.org/drawingml/2006/main">
                <a:graphicData uri="http://schemas.microsoft.com/office/word/2010/wordprocessingGroup">
                  <wpg:wgp>
                    <wpg:cNvGrpSpPr/>
                    <wpg:grpSpPr>
                      <a:xfrm>
                        <a:off x="0" y="0"/>
                        <a:ext cx="5141011" cy="9144"/>
                        <a:chOff x="0" y="0"/>
                        <a:chExt cx="5141011" cy="9144"/>
                      </a:xfrm>
                    </wpg:grpSpPr>
                    <wps:wsp>
                      <wps:cNvPr id="19006" name="Shape 19006"/>
                      <wps:cNvSpPr/>
                      <wps:spPr>
                        <a:xfrm>
                          <a:off x="0" y="0"/>
                          <a:ext cx="817169" cy="9144"/>
                        </a:xfrm>
                        <a:custGeom>
                          <a:avLst/>
                          <a:gdLst/>
                          <a:ahLst/>
                          <a:cxnLst/>
                          <a:rect l="0" t="0" r="0" b="0"/>
                          <a:pathLst>
                            <a:path w="817169" h="9144">
                              <a:moveTo>
                                <a:pt x="0" y="0"/>
                              </a:moveTo>
                              <a:lnTo>
                                <a:pt x="817169" y="0"/>
                              </a:lnTo>
                              <a:lnTo>
                                <a:pt x="8171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07" name="Shape 19007"/>
                      <wps:cNvSpPr/>
                      <wps:spPr>
                        <a:xfrm>
                          <a:off x="8080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08" name="Shape 19008"/>
                      <wps:cNvSpPr/>
                      <wps:spPr>
                        <a:xfrm>
                          <a:off x="817194" y="0"/>
                          <a:ext cx="3064510" cy="9144"/>
                        </a:xfrm>
                        <a:custGeom>
                          <a:avLst/>
                          <a:gdLst/>
                          <a:ahLst/>
                          <a:cxnLst/>
                          <a:rect l="0" t="0" r="0" b="0"/>
                          <a:pathLst>
                            <a:path w="3064510" h="9144">
                              <a:moveTo>
                                <a:pt x="0" y="0"/>
                              </a:moveTo>
                              <a:lnTo>
                                <a:pt x="3064510" y="0"/>
                              </a:lnTo>
                              <a:lnTo>
                                <a:pt x="30645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09" name="Shape 19009"/>
                      <wps:cNvSpPr/>
                      <wps:spPr>
                        <a:xfrm>
                          <a:off x="387243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10" name="Shape 19010"/>
                      <wps:cNvSpPr/>
                      <wps:spPr>
                        <a:xfrm>
                          <a:off x="3881577" y="0"/>
                          <a:ext cx="1259434" cy="9144"/>
                        </a:xfrm>
                        <a:custGeom>
                          <a:avLst/>
                          <a:gdLst/>
                          <a:ahLst/>
                          <a:cxnLst/>
                          <a:rect l="0" t="0" r="0" b="0"/>
                          <a:pathLst>
                            <a:path w="1259434" h="9144">
                              <a:moveTo>
                                <a:pt x="0" y="0"/>
                              </a:moveTo>
                              <a:lnTo>
                                <a:pt x="1259434" y="0"/>
                              </a:lnTo>
                              <a:lnTo>
                                <a:pt x="12594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8299" style="width:404.804pt;height:0.719971pt;position:absolute;mso-position-horizontal-relative:page;mso-position-horizontal:absolute;margin-left:63.144pt;mso-position-vertical-relative:page;margin-top:77.54pt;" coordsize="51410,91">
              <v:shape id="Shape 19011" style="position:absolute;width:8171;height:91;left:0;top:0;" coordsize="817169,9144" path="m0,0l817169,0l817169,9144l0,9144l0,0">
                <v:stroke weight="0pt" endcap="flat" joinstyle="miter" miterlimit="10" on="false" color="#000000" opacity="0"/>
                <v:fill on="true" color="#000000"/>
              </v:shape>
              <v:shape id="Shape 19012" style="position:absolute;width:91;height:91;left:8080;top:0;" coordsize="9144,9144" path="m0,0l9144,0l9144,9144l0,9144l0,0">
                <v:stroke weight="0pt" endcap="flat" joinstyle="miter" miterlimit="10" on="false" color="#000000" opacity="0"/>
                <v:fill on="true" color="#000000"/>
              </v:shape>
              <v:shape id="Shape 19013" style="position:absolute;width:30645;height:91;left:8171;top:0;" coordsize="3064510,9144" path="m0,0l3064510,0l3064510,9144l0,9144l0,0">
                <v:stroke weight="0pt" endcap="flat" joinstyle="miter" miterlimit="10" on="false" color="#000000" opacity="0"/>
                <v:fill on="true" color="#000000"/>
              </v:shape>
              <v:shape id="Shape 19014" style="position:absolute;width:91;height:91;left:38724;top:0;" coordsize="9144,9144" path="m0,0l9144,0l9144,9144l0,9144l0,0">
                <v:stroke weight="0pt" endcap="flat" joinstyle="miter" miterlimit="10" on="false" color="#000000" opacity="0"/>
                <v:fill on="true" color="#000000"/>
              </v:shape>
              <v:shape id="Shape 19015" style="position:absolute;width:12594;height:91;left:38815;top:0;" coordsize="1259434,9144" path="m0,0l1259434,0l1259434,9144l0,9144l0,0">
                <v:stroke weight="0pt" endcap="flat" joinstyle="miter" miterlimit="10" on="false" color="#000000" opacity="0"/>
                <v:fill on="true" color="#000000"/>
              </v:shape>
              <w10:wrap type="square"/>
            </v:group>
          </w:pict>
        </mc:Fallback>
      </mc:AlternateContent>
    </w:r>
    <w:r>
      <w:rPr>
        <w:rFonts w:ascii="Century Gothic" w:eastAsia="Century Gothic" w:hAnsi="Century Gothic" w:cs="Century Gothic"/>
        <w:sz w:val="24"/>
      </w:rPr>
      <w:t xml:space="preserve"> </w:t>
    </w:r>
  </w:p>
  <w:p w14:paraId="3AA60C5D" w14:textId="77777777" w:rsidR="006F1EE1" w:rsidRDefault="003806C1">
    <w:pPr>
      <w:tabs>
        <w:tab w:val="center" w:pos="1259"/>
        <w:tab w:val="center" w:pos="3242"/>
        <w:tab w:val="center" w:pos="6876"/>
      </w:tabs>
      <w:spacing w:after="75" w:line="259" w:lineRule="auto"/>
      <w:ind w:left="0" w:right="0" w:firstLine="0"/>
      <w:jc w:val="left"/>
    </w:pPr>
    <w:r>
      <w:rPr>
        <w:rFonts w:ascii="Calibri" w:eastAsia="Calibri" w:hAnsi="Calibri" w:cs="Calibri"/>
        <w:sz w:val="22"/>
      </w:rPr>
      <w:tab/>
    </w:r>
    <w:r>
      <w:rPr>
        <w:rFonts w:ascii="Times New Roman" w:eastAsia="Times New Roman" w:hAnsi="Times New Roman" w:cs="Times New Roman"/>
        <w:i/>
        <w:sz w:val="19"/>
      </w:rPr>
      <w:t>D-</w:t>
    </w:r>
    <w:r>
      <w:rPr>
        <w:rFonts w:ascii="Times New Roman" w:eastAsia="Times New Roman" w:hAnsi="Times New Roman" w:cs="Times New Roman"/>
        <w:sz w:val="19"/>
      </w:rPr>
      <w:t>08.02.01a</w:t>
    </w:r>
    <w:r>
      <w:rPr>
        <w:rFonts w:ascii="Century Gothic" w:eastAsia="Century Gothic" w:hAnsi="Century Gothic" w:cs="Century Gothic"/>
        <w:sz w:val="19"/>
      </w:rPr>
      <w:t xml:space="preserve"> </w:t>
    </w:r>
    <w:r>
      <w:rPr>
        <w:rFonts w:ascii="Century Gothic" w:eastAsia="Century Gothic" w:hAnsi="Century Gothic" w:cs="Century Gothic"/>
        <w:sz w:val="19"/>
      </w:rPr>
      <w:tab/>
    </w:r>
    <w:r>
      <w:rPr>
        <w:rFonts w:ascii="Times New Roman" w:eastAsia="Times New Roman" w:hAnsi="Times New Roman" w:cs="Times New Roman"/>
        <w:i/>
        <w:sz w:val="19"/>
      </w:rPr>
      <w:t>Chodniki z płyt wskaźnikowych</w:t>
    </w:r>
    <w:r>
      <w:rPr>
        <w:rFonts w:ascii="Century Gothic" w:eastAsia="Century Gothic" w:hAnsi="Century Gothic" w:cs="Century Gothic"/>
        <w:sz w:val="19"/>
      </w:rPr>
      <w:t xml:space="preserve"> </w:t>
    </w:r>
    <w:r>
      <w:rPr>
        <w:rFonts w:ascii="Century Gothic" w:eastAsia="Century Gothic" w:hAnsi="Century Gothic" w:cs="Century Gothic"/>
        <w:sz w:val="19"/>
      </w:rPr>
      <w:tab/>
      <w:t xml:space="preserve"> </w:t>
    </w:r>
  </w:p>
  <w:p w14:paraId="0F35224B" w14:textId="77777777" w:rsidR="006F1EE1" w:rsidRDefault="003806C1">
    <w:pPr>
      <w:spacing w:after="0" w:line="259" w:lineRule="auto"/>
      <w:ind w:left="283" w:right="0" w:firstLine="0"/>
      <w:jc w:val="left"/>
    </w:pPr>
    <w:r>
      <w:rPr>
        <w:rFonts w:ascii="Century Gothic" w:eastAsia="Century Gothic" w:hAnsi="Century Gothic" w:cs="Century Gothic"/>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F"/>
    <w:multiLevelType w:val="hybridMultilevel"/>
    <w:tmpl w:val="93D4C14A"/>
    <w:lvl w:ilvl="0" w:tplc="E9D4F940">
      <w:start w:val="1"/>
      <w:numFmt w:val="decimal"/>
      <w:lvlText w:val="[%1]"/>
      <w:lvlJc w:val="left"/>
      <w:pPr>
        <w:ind w:left="10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8E6EA9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BA233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5CB080">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96F54A">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96917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30440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10CC6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982140C">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5C5B58"/>
    <w:multiLevelType w:val="hybridMultilevel"/>
    <w:tmpl w:val="084210F0"/>
    <w:lvl w:ilvl="0" w:tplc="31001E72">
      <w:start w:val="8"/>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EF8909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08E8CC">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B0A2F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7E9478">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60C5970">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818E6CE">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C68C96">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77AB572">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8E530F"/>
    <w:multiLevelType w:val="hybridMultilevel"/>
    <w:tmpl w:val="7F926F0C"/>
    <w:lvl w:ilvl="0" w:tplc="896C6DBE">
      <w:start w:val="1"/>
      <w:numFmt w:val="decimal"/>
      <w:lvlText w:val="%1."/>
      <w:lvlJc w:val="left"/>
      <w:pPr>
        <w:ind w:left="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9CB1F0">
      <w:start w:val="1"/>
      <w:numFmt w:val="lowerLetter"/>
      <w:lvlText w:val="%2"/>
      <w:lvlJc w:val="left"/>
      <w:pPr>
        <w:ind w:left="1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C02CD2C">
      <w:start w:val="1"/>
      <w:numFmt w:val="lowerRoman"/>
      <w:lvlText w:val="%3"/>
      <w:lvlJc w:val="left"/>
      <w:pPr>
        <w:ind w:left="2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64A0C52">
      <w:start w:val="1"/>
      <w:numFmt w:val="decimal"/>
      <w:lvlText w:val="%4"/>
      <w:lvlJc w:val="left"/>
      <w:pPr>
        <w:ind w:left="2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5C6C3C">
      <w:start w:val="1"/>
      <w:numFmt w:val="lowerLetter"/>
      <w:lvlText w:val="%5"/>
      <w:lvlJc w:val="left"/>
      <w:pPr>
        <w:ind w:left="3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99CDEA4">
      <w:start w:val="1"/>
      <w:numFmt w:val="lowerRoman"/>
      <w:lvlText w:val="%6"/>
      <w:lvlJc w:val="left"/>
      <w:pPr>
        <w:ind w:left="43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3008462">
      <w:start w:val="1"/>
      <w:numFmt w:val="decimal"/>
      <w:lvlText w:val="%7"/>
      <w:lvlJc w:val="left"/>
      <w:pPr>
        <w:ind w:left="51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FABC1E">
      <w:start w:val="1"/>
      <w:numFmt w:val="lowerLetter"/>
      <w:lvlText w:val="%8"/>
      <w:lvlJc w:val="left"/>
      <w:pPr>
        <w:ind w:left="58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DC6A06">
      <w:start w:val="1"/>
      <w:numFmt w:val="lowerRoman"/>
      <w:lvlText w:val="%9"/>
      <w:lvlJc w:val="left"/>
      <w:pPr>
        <w:ind w:left="65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FDE3A38"/>
    <w:multiLevelType w:val="hybridMultilevel"/>
    <w:tmpl w:val="909E8400"/>
    <w:lvl w:ilvl="0" w:tplc="77905900">
      <w:start w:val="1"/>
      <w:numFmt w:val="bullet"/>
      <w:lvlText w:val=""/>
      <w:lvlJc w:val="left"/>
      <w:pPr>
        <w:ind w:left="12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B09CD132">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C2EFC0E">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45485C2">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DE3ADC">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04CCD2A">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5ACD350">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4EC34A">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F0A3D14">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A942134"/>
    <w:multiLevelType w:val="hybridMultilevel"/>
    <w:tmpl w:val="F0F8F6F0"/>
    <w:lvl w:ilvl="0" w:tplc="1FEAC9D4">
      <w:start w:val="1"/>
      <w:numFmt w:val="bullet"/>
      <w:lvlText w:val="-"/>
      <w:lvlJc w:val="left"/>
      <w:pPr>
        <w:ind w:left="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EE421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827BA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7B293C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2ED68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A028D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A5A8DF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16727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8C7B9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D666164"/>
    <w:multiLevelType w:val="hybridMultilevel"/>
    <w:tmpl w:val="178460CA"/>
    <w:lvl w:ilvl="0" w:tplc="78803432">
      <w:start w:val="1"/>
      <w:numFmt w:val="bullet"/>
      <w:lvlText w:val=""/>
      <w:lvlJc w:val="left"/>
      <w:pPr>
        <w:ind w:left="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EFC29EE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5B08DB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76A963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126A8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756829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368F1E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EA719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3F23CE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8DE6CD0"/>
    <w:multiLevelType w:val="hybridMultilevel"/>
    <w:tmpl w:val="89889836"/>
    <w:lvl w:ilvl="0" w:tplc="B8B473A2">
      <w:start w:val="1"/>
      <w:numFmt w:val="bullet"/>
      <w:lvlText w:val=""/>
      <w:lvlJc w:val="left"/>
      <w:pPr>
        <w:ind w:left="7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8D92C1A4">
      <w:start w:val="1"/>
      <w:numFmt w:val="bullet"/>
      <w:lvlText w:val="o"/>
      <w:lvlJc w:val="left"/>
      <w:pPr>
        <w:ind w:left="12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09A7E1C">
      <w:start w:val="1"/>
      <w:numFmt w:val="bullet"/>
      <w:lvlText w:val="▪"/>
      <w:lvlJc w:val="left"/>
      <w:pPr>
        <w:ind w:left="19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F0923A">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20489C">
      <w:start w:val="1"/>
      <w:numFmt w:val="bullet"/>
      <w:lvlText w:val="o"/>
      <w:lvlJc w:val="left"/>
      <w:pPr>
        <w:ind w:left="33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720A6F8">
      <w:start w:val="1"/>
      <w:numFmt w:val="bullet"/>
      <w:lvlText w:val="▪"/>
      <w:lvlJc w:val="left"/>
      <w:pPr>
        <w:ind w:left="41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DB80D44">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B6EDCE0">
      <w:start w:val="1"/>
      <w:numFmt w:val="bullet"/>
      <w:lvlText w:val="o"/>
      <w:lvlJc w:val="left"/>
      <w:pPr>
        <w:ind w:left="55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BA6D118">
      <w:start w:val="1"/>
      <w:numFmt w:val="bullet"/>
      <w:lvlText w:val="▪"/>
      <w:lvlJc w:val="left"/>
      <w:pPr>
        <w:ind w:left="62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173638"/>
    <w:multiLevelType w:val="hybridMultilevel"/>
    <w:tmpl w:val="772401B8"/>
    <w:lvl w:ilvl="0" w:tplc="51A45F90">
      <w:start w:val="1"/>
      <w:numFmt w:val="bullet"/>
      <w:lvlText w:val=""/>
      <w:lvlJc w:val="left"/>
      <w:pPr>
        <w:ind w:left="5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A992CEB2">
      <w:start w:val="1"/>
      <w:numFmt w:val="bullet"/>
      <w:lvlText w:val="o"/>
      <w:lvlJc w:val="left"/>
      <w:pPr>
        <w:ind w:left="13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3C04DFC">
      <w:start w:val="1"/>
      <w:numFmt w:val="bullet"/>
      <w:lvlText w:val="▪"/>
      <w:lvlJc w:val="left"/>
      <w:pPr>
        <w:ind w:left="20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38CC04C">
      <w:start w:val="1"/>
      <w:numFmt w:val="bullet"/>
      <w:lvlText w:val="•"/>
      <w:lvlJc w:val="left"/>
      <w:pPr>
        <w:ind w:left="2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7C11DC">
      <w:start w:val="1"/>
      <w:numFmt w:val="bullet"/>
      <w:lvlText w:val="o"/>
      <w:lvlJc w:val="left"/>
      <w:pPr>
        <w:ind w:left="35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5D03936">
      <w:start w:val="1"/>
      <w:numFmt w:val="bullet"/>
      <w:lvlText w:val="▪"/>
      <w:lvlJc w:val="left"/>
      <w:pPr>
        <w:ind w:left="42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7626416">
      <w:start w:val="1"/>
      <w:numFmt w:val="bullet"/>
      <w:lvlText w:val="•"/>
      <w:lvlJc w:val="left"/>
      <w:pPr>
        <w:ind w:left="4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7466B4A">
      <w:start w:val="1"/>
      <w:numFmt w:val="bullet"/>
      <w:lvlText w:val="o"/>
      <w:lvlJc w:val="left"/>
      <w:pPr>
        <w:ind w:left="56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93ADF0A">
      <w:start w:val="1"/>
      <w:numFmt w:val="bullet"/>
      <w:lvlText w:val="▪"/>
      <w:lvlJc w:val="left"/>
      <w:pPr>
        <w:ind w:left="64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ACB2A42"/>
    <w:multiLevelType w:val="hybridMultilevel"/>
    <w:tmpl w:val="B9AC99FA"/>
    <w:lvl w:ilvl="0" w:tplc="87426C52">
      <w:start w:val="1"/>
      <w:numFmt w:val="bullet"/>
      <w:lvlText w:val=""/>
      <w:lvlJc w:val="left"/>
      <w:pPr>
        <w:ind w:left="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E6365CF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B8C3FB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A0606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12BE7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8D207B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3BAB2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FC017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864ED2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923710067">
    <w:abstractNumId w:val="5"/>
  </w:num>
  <w:num w:numId="2" w16cid:durableId="883564605">
    <w:abstractNumId w:val="4"/>
  </w:num>
  <w:num w:numId="3" w16cid:durableId="450905264">
    <w:abstractNumId w:val="3"/>
  </w:num>
  <w:num w:numId="4" w16cid:durableId="61760817">
    <w:abstractNumId w:val="7"/>
  </w:num>
  <w:num w:numId="5" w16cid:durableId="2015060830">
    <w:abstractNumId w:val="6"/>
  </w:num>
  <w:num w:numId="6" w16cid:durableId="1390302449">
    <w:abstractNumId w:val="8"/>
  </w:num>
  <w:num w:numId="7" w16cid:durableId="687947671">
    <w:abstractNumId w:val="0"/>
  </w:num>
  <w:num w:numId="8" w16cid:durableId="1506171911">
    <w:abstractNumId w:val="1"/>
  </w:num>
  <w:num w:numId="9" w16cid:durableId="7790291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EE1"/>
    <w:rsid w:val="00024648"/>
    <w:rsid w:val="0008411B"/>
    <w:rsid w:val="00092901"/>
    <w:rsid w:val="001370CB"/>
    <w:rsid w:val="00162F1F"/>
    <w:rsid w:val="002343C9"/>
    <w:rsid w:val="00365CDC"/>
    <w:rsid w:val="003806C1"/>
    <w:rsid w:val="00640DD7"/>
    <w:rsid w:val="006734CF"/>
    <w:rsid w:val="006F1EE1"/>
    <w:rsid w:val="00997744"/>
    <w:rsid w:val="009E5983"/>
    <w:rsid w:val="00A33E5E"/>
    <w:rsid w:val="00A34F47"/>
    <w:rsid w:val="00A40FC5"/>
    <w:rsid w:val="00A777F6"/>
    <w:rsid w:val="00B62895"/>
    <w:rsid w:val="00E23CDE"/>
    <w:rsid w:val="00E65564"/>
    <w:rsid w:val="00E665E7"/>
    <w:rsid w:val="00F849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786ED"/>
  <w15:docId w15:val="{8A0E8566-DF55-4DF1-8564-75E3F11A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8" w:lineRule="auto"/>
      <w:ind w:left="293" w:right="4"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97"/>
      <w:ind w:left="293" w:hanging="10"/>
      <w:outlineLvl w:val="0"/>
    </w:pPr>
    <w:rPr>
      <w:rFonts w:ascii="Arial" w:eastAsia="Arial" w:hAnsi="Arial" w:cs="Arial"/>
      <w:b/>
      <w:color w:val="000000"/>
      <w:sz w:val="20"/>
    </w:rPr>
  </w:style>
  <w:style w:type="paragraph" w:styleId="Nagwek2">
    <w:name w:val="heading 2"/>
    <w:next w:val="Normalny"/>
    <w:link w:val="Nagwek2Znak"/>
    <w:uiPriority w:val="9"/>
    <w:unhideWhenUsed/>
    <w:qFormat/>
    <w:pPr>
      <w:keepNext/>
      <w:keepLines/>
      <w:spacing w:after="97"/>
      <w:ind w:left="293" w:hanging="10"/>
      <w:outlineLvl w:val="1"/>
    </w:pPr>
    <w:rPr>
      <w:rFonts w:ascii="Arial" w:eastAsia="Arial" w:hAnsi="Arial" w:cs="Arial"/>
      <w:b/>
      <w:color w:val="000000"/>
      <w:sz w:val="20"/>
    </w:rPr>
  </w:style>
  <w:style w:type="paragraph" w:styleId="Nagwek3">
    <w:name w:val="heading 3"/>
    <w:next w:val="Normalny"/>
    <w:link w:val="Nagwek3Znak"/>
    <w:uiPriority w:val="9"/>
    <w:unhideWhenUsed/>
    <w:qFormat/>
    <w:pPr>
      <w:keepNext/>
      <w:keepLines/>
      <w:spacing w:after="97"/>
      <w:ind w:left="293" w:hanging="10"/>
      <w:outlineLvl w:val="2"/>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character" w:customStyle="1" w:styleId="Nagwek2Znak">
    <w:name w:val="Nagłówek 2 Znak"/>
    <w:link w:val="Nagwek2"/>
    <w:rPr>
      <w:rFonts w:ascii="Arial" w:eastAsia="Arial" w:hAnsi="Arial" w:cs="Arial"/>
      <w:b/>
      <w:color w:val="000000"/>
      <w:sz w:val="20"/>
    </w:rPr>
  </w:style>
  <w:style w:type="character" w:customStyle="1" w:styleId="Nagwek3Znak">
    <w:name w:val="Nagłówek 3 Znak"/>
    <w:link w:val="Nagwek3"/>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084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411B"/>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jpg"/><Relationship Id="rId18" Type="http://schemas.openxmlformats.org/officeDocument/2006/relationships/image" Target="media/image7.jp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0.jpg"/><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image" Target="media/image50.jp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40.jpg"/><Relationship Id="rId20" Type="http://schemas.openxmlformats.org/officeDocument/2006/relationships/image" Target="media/image60.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30.jpg"/><Relationship Id="rId23" Type="http://schemas.openxmlformats.org/officeDocument/2006/relationships/header" Target="header1.xml"/><Relationship Id="rId10" Type="http://schemas.openxmlformats.org/officeDocument/2006/relationships/image" Target="media/image10.jpg"/><Relationship Id="rId19" Type="http://schemas.openxmlformats.org/officeDocument/2006/relationships/image" Target="media/image8.jpg"/><Relationship Id="rId4" Type="http://schemas.openxmlformats.org/officeDocument/2006/relationships/webSettings" Target="webSettings.xml"/><Relationship Id="rId9" Type="http://schemas.openxmlformats.org/officeDocument/2006/relationships/image" Target="media/image0.jpg"/><Relationship Id="rId14" Type="http://schemas.openxmlformats.org/officeDocument/2006/relationships/image" Target="media/image6.jpg"/><Relationship Id="rId22" Type="http://schemas.openxmlformats.org/officeDocument/2006/relationships/image" Target="media/image9.jpg"/><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2537</Words>
  <Characters>15223</Characters>
  <Application>Microsoft Office Word</Application>
  <DocSecurity>0</DocSecurity>
  <Lines>126</Lines>
  <Paragraphs>35</Paragraphs>
  <ScaleCrop>false</ScaleCrop>
  <Company/>
  <LinksUpToDate>false</LinksUpToDate>
  <CharactersWithSpaces>17725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D-08.01.01:02</dc:title>
  <dc:subject>ost</dc:subject>
  <dc:creator>BZD BDIM Sp. z o.o.</dc:creator>
  <cp:keywords>specyfikacje, drogi, drogownictwo, ost</cp:keywords>
  <cp:lastModifiedBy>Ireneusz Klofczynski</cp:lastModifiedBy>
  <cp:revision>23</cp:revision>
  <dcterms:created xsi:type="dcterms:W3CDTF">2023-07-05T10:17:00Z</dcterms:created>
  <dcterms:modified xsi:type="dcterms:W3CDTF">2025-01-30T10:46:00Z</dcterms:modified>
</cp:coreProperties>
</file>