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902" w14:textId="77777777"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14:paraId="0EA8328A" w14:textId="77777777" w:rsidR="00F03A83" w:rsidRPr="000F3325" w:rsidRDefault="00F03A83" w:rsidP="00CE3B62">
      <w:pPr>
        <w:pStyle w:val="Bezodstpw"/>
        <w:spacing w:line="276" w:lineRule="auto"/>
        <w:jc w:val="center"/>
        <w:rPr>
          <w:rFonts w:ascii="Times New Roman" w:hAnsi="Times New Roman"/>
          <w:bCs/>
          <w:i/>
          <w:sz w:val="24"/>
          <w:szCs w:val="24"/>
        </w:rPr>
      </w:pPr>
    </w:p>
    <w:p w14:paraId="65A77F51" w14:textId="77777777" w:rsidR="00F03A83" w:rsidRPr="000F3325" w:rsidRDefault="00F03A83" w:rsidP="00CE3B62">
      <w:pPr>
        <w:pStyle w:val="Bezodstpw"/>
        <w:spacing w:line="276" w:lineRule="auto"/>
        <w:jc w:val="center"/>
        <w:rPr>
          <w:rFonts w:ascii="Times New Roman" w:hAnsi="Times New Roman"/>
          <w:bCs/>
          <w:i/>
          <w:sz w:val="24"/>
          <w:szCs w:val="24"/>
        </w:rPr>
      </w:pPr>
    </w:p>
    <w:p w14:paraId="65CC468D" w14:textId="77777777" w:rsidR="00F03A83" w:rsidRPr="000F3325" w:rsidRDefault="00F03A83" w:rsidP="00CE3B62">
      <w:pPr>
        <w:pStyle w:val="Bezodstpw"/>
        <w:spacing w:line="276" w:lineRule="auto"/>
        <w:jc w:val="center"/>
        <w:rPr>
          <w:rFonts w:ascii="Times New Roman" w:hAnsi="Times New Roman"/>
          <w:bCs/>
          <w:i/>
          <w:sz w:val="24"/>
          <w:szCs w:val="24"/>
        </w:rPr>
      </w:pPr>
    </w:p>
    <w:p w14:paraId="68BB804A" w14:textId="4DFAD6FC"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546EF8">
        <w:rPr>
          <w:rFonts w:ascii="Times New Roman" w:hAnsi="Times New Roman"/>
          <w:bCs/>
          <w:color w:val="800000"/>
          <w:sz w:val="24"/>
          <w:szCs w:val="24"/>
        </w:rPr>
        <w:t>2</w:t>
      </w:r>
      <w:r w:rsidR="005A1DF4">
        <w:rPr>
          <w:rFonts w:ascii="Times New Roman" w:hAnsi="Times New Roman"/>
          <w:bCs/>
          <w:color w:val="800000"/>
          <w:sz w:val="24"/>
          <w:szCs w:val="24"/>
        </w:rPr>
        <w:t>5</w:t>
      </w:r>
      <w:r w:rsidR="00437017">
        <w:rPr>
          <w:rFonts w:ascii="Times New Roman" w:hAnsi="Times New Roman"/>
          <w:bCs/>
          <w:color w:val="800000"/>
          <w:sz w:val="24"/>
          <w:szCs w:val="24"/>
        </w:rPr>
        <w:t>.202</w:t>
      </w:r>
      <w:r w:rsidR="000E1874">
        <w:rPr>
          <w:rFonts w:ascii="Times New Roman" w:hAnsi="Times New Roman"/>
          <w:bCs/>
          <w:color w:val="800000"/>
          <w:sz w:val="24"/>
          <w:szCs w:val="24"/>
        </w:rPr>
        <w:t>5</w:t>
      </w:r>
    </w:p>
    <w:p w14:paraId="7C357464" w14:textId="77777777" w:rsidR="00F03A83" w:rsidRPr="000F3325" w:rsidRDefault="00F03A83" w:rsidP="00CE3B62">
      <w:pPr>
        <w:pStyle w:val="Bezodstpw"/>
        <w:spacing w:line="276" w:lineRule="auto"/>
        <w:rPr>
          <w:rFonts w:ascii="Times New Roman" w:hAnsi="Times New Roman"/>
          <w:bCs/>
          <w:sz w:val="24"/>
          <w:szCs w:val="24"/>
        </w:rPr>
      </w:pPr>
    </w:p>
    <w:p w14:paraId="29BF148B" w14:textId="77777777" w:rsidR="00F03A83" w:rsidRPr="000F3325" w:rsidRDefault="00F03A83" w:rsidP="00CE3B62">
      <w:pPr>
        <w:pStyle w:val="Bezodstpw"/>
        <w:spacing w:line="276" w:lineRule="auto"/>
        <w:jc w:val="center"/>
        <w:rPr>
          <w:rFonts w:ascii="Times New Roman" w:hAnsi="Times New Roman"/>
          <w:b/>
          <w:bCs/>
          <w:sz w:val="24"/>
          <w:szCs w:val="24"/>
        </w:rPr>
      </w:pPr>
    </w:p>
    <w:p w14:paraId="2283E7D9" w14:textId="3142B35C"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sidR="00793A40" w:rsidRPr="00793A40">
        <w:rPr>
          <w:color w:val="800000"/>
          <w:szCs w:val="24"/>
        </w:rPr>
        <w:t>usługa</w:t>
      </w:r>
      <w:r w:rsidRPr="000F3325">
        <w:rPr>
          <w:color w:val="800000"/>
          <w:szCs w:val="24"/>
        </w:rPr>
        <w:t>/tryb podstawowy bez negocjacji</w:t>
      </w:r>
    </w:p>
    <w:p w14:paraId="39623105" w14:textId="77777777" w:rsidR="00F03A83" w:rsidRPr="000F3325" w:rsidRDefault="00F03A83" w:rsidP="00CE3B62">
      <w:pPr>
        <w:pStyle w:val="Tekstpodstawowy21"/>
        <w:spacing w:line="276" w:lineRule="auto"/>
        <w:rPr>
          <w:color w:val="800000"/>
          <w:szCs w:val="24"/>
        </w:rPr>
      </w:pPr>
    </w:p>
    <w:p w14:paraId="06FF67B5" w14:textId="77777777" w:rsidR="00F03A83" w:rsidRPr="000F3325" w:rsidRDefault="00F03A83" w:rsidP="00CE3B62">
      <w:pPr>
        <w:pStyle w:val="Tekstpodstawowy21"/>
        <w:spacing w:line="276" w:lineRule="auto"/>
        <w:rPr>
          <w:color w:val="800000"/>
          <w:szCs w:val="24"/>
        </w:rPr>
      </w:pPr>
    </w:p>
    <w:p w14:paraId="0F3A4AE5" w14:textId="77777777" w:rsidR="00DE704A" w:rsidRDefault="00F03A83" w:rsidP="00DE704A">
      <w:pPr>
        <w:pStyle w:val="Akapitzlist1"/>
        <w:ind w:left="0"/>
        <w:jc w:val="center"/>
        <w:rPr>
          <w:b/>
        </w:rPr>
      </w:pPr>
      <w:r w:rsidRPr="000F3325">
        <w:rPr>
          <w:b/>
        </w:rPr>
        <w:t>Tytuł:</w:t>
      </w:r>
    </w:p>
    <w:p w14:paraId="4A57F940" w14:textId="77777777" w:rsidR="007569A4" w:rsidRDefault="007569A4" w:rsidP="00DE704A">
      <w:pPr>
        <w:pStyle w:val="Akapitzlist1"/>
        <w:ind w:left="0"/>
        <w:jc w:val="center"/>
      </w:pPr>
    </w:p>
    <w:p w14:paraId="2C01DFB9" w14:textId="42B9A4ED" w:rsidR="00B814F5" w:rsidRPr="00C9220A" w:rsidRDefault="00B47EBD" w:rsidP="00A8051B">
      <w:pPr>
        <w:pStyle w:val="Tekstpodstawowy21"/>
        <w:spacing w:line="276" w:lineRule="auto"/>
        <w:jc w:val="center"/>
        <w:rPr>
          <w:b/>
          <w:iCs/>
          <w:color w:val="002060"/>
          <w:sz w:val="22"/>
          <w:szCs w:val="18"/>
        </w:rPr>
      </w:pPr>
      <w:r>
        <w:rPr>
          <w:b/>
          <w:color w:val="990000"/>
          <w:lang w:eastAsia="pl-PL"/>
        </w:rPr>
        <w:t>Opracowanie dokumentacji dla potrzeb budowy tężni solankowej na części działki nr 3119/60 obr 4 Jarosław wraz z infrastrukturą towarzyszącą w ramach zadania „Budżet obywatelski. Budowa tężni solankowej”</w:t>
      </w:r>
    </w:p>
    <w:p w14:paraId="5EF07D05" w14:textId="77777777" w:rsidR="00F03A83" w:rsidRPr="000F3325" w:rsidRDefault="00F03A83" w:rsidP="00CE3B62">
      <w:pPr>
        <w:pStyle w:val="Bezodstpw"/>
        <w:spacing w:line="276" w:lineRule="auto"/>
        <w:rPr>
          <w:rFonts w:ascii="Times New Roman" w:hAnsi="Times New Roman"/>
          <w:b/>
          <w:bCs/>
          <w:sz w:val="24"/>
          <w:szCs w:val="24"/>
          <w:u w:val="single"/>
        </w:rPr>
      </w:pPr>
    </w:p>
    <w:p w14:paraId="4AF9073A" w14:textId="77777777" w:rsidR="00F03A83" w:rsidRDefault="00F03A83" w:rsidP="00CE3B62">
      <w:pPr>
        <w:pStyle w:val="Bezodstpw"/>
        <w:spacing w:line="276" w:lineRule="auto"/>
        <w:jc w:val="center"/>
        <w:rPr>
          <w:rFonts w:ascii="Times New Roman" w:hAnsi="Times New Roman"/>
          <w:b/>
          <w:bCs/>
          <w:sz w:val="24"/>
          <w:szCs w:val="24"/>
          <w:u w:val="single"/>
        </w:rPr>
      </w:pPr>
    </w:p>
    <w:p w14:paraId="4E9710D0" w14:textId="77777777"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14:paraId="146CE61D" w14:textId="77777777" w:rsidR="00F03A83" w:rsidRPr="000F3325" w:rsidRDefault="00F03A83" w:rsidP="00CE3B62">
      <w:pPr>
        <w:pStyle w:val="Bezodstpw"/>
        <w:spacing w:line="276" w:lineRule="auto"/>
        <w:jc w:val="center"/>
        <w:rPr>
          <w:rFonts w:ascii="Times New Roman" w:hAnsi="Times New Roman"/>
          <w:b/>
          <w:bCs/>
          <w:sz w:val="24"/>
          <w:szCs w:val="24"/>
          <w:u w:val="single"/>
        </w:rPr>
      </w:pPr>
    </w:p>
    <w:p w14:paraId="30C4A540" w14:textId="211BD2EB" w:rsidR="00F03A83" w:rsidRPr="00A948BF" w:rsidRDefault="00F37C78"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00F03A83"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001D4CCE">
        <w:rPr>
          <w:rFonts w:ascii="Monotype Corsiva" w:hAnsi="Monotype Corsiva"/>
          <w:b/>
          <w:bCs/>
          <w:color w:val="002060"/>
          <w:sz w:val="36"/>
          <w:szCs w:val="36"/>
        </w:rPr>
        <w:t xml:space="preserve"> </w:t>
      </w:r>
      <w:r w:rsidR="00F03A83" w:rsidRPr="00A948BF">
        <w:rPr>
          <w:rFonts w:ascii="Monotype Corsiva" w:hAnsi="Monotype Corsiva"/>
          <w:b/>
          <w:bCs/>
          <w:color w:val="002060"/>
          <w:sz w:val="36"/>
          <w:szCs w:val="36"/>
        </w:rPr>
        <w:t>Miasta Jarosławia</w:t>
      </w:r>
    </w:p>
    <w:p w14:paraId="0304635E" w14:textId="77777777" w:rsidR="00F03A83" w:rsidRPr="00A948BF" w:rsidRDefault="00F03A83" w:rsidP="00CE3B62">
      <w:pPr>
        <w:pStyle w:val="Bezodstpw"/>
        <w:spacing w:line="276" w:lineRule="auto"/>
        <w:jc w:val="center"/>
        <w:rPr>
          <w:rFonts w:ascii="Monotype Corsiva" w:hAnsi="Monotype Corsiva"/>
          <w:b/>
          <w:bCs/>
          <w:color w:val="002060"/>
          <w:sz w:val="16"/>
          <w:szCs w:val="16"/>
        </w:rPr>
      </w:pPr>
    </w:p>
    <w:p w14:paraId="5A64BBD4" w14:textId="41F3D4E0"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37C78">
        <w:rPr>
          <w:rFonts w:ascii="Monotype Corsiva" w:hAnsi="Monotype Corsiva"/>
          <w:b/>
          <w:bCs/>
          <w:color w:val="002060"/>
          <w:sz w:val="36"/>
          <w:szCs w:val="36"/>
        </w:rPr>
        <w:t>Patrycja Lachnik</w:t>
      </w:r>
    </w:p>
    <w:p w14:paraId="65869413" w14:textId="77777777" w:rsidR="00F03A83" w:rsidRDefault="00F03A83" w:rsidP="00CE3B62">
      <w:pPr>
        <w:pStyle w:val="Bezodstpw"/>
        <w:spacing w:line="276" w:lineRule="auto"/>
        <w:ind w:left="4536"/>
        <w:jc w:val="right"/>
        <w:rPr>
          <w:rFonts w:ascii="Times New Roman" w:hAnsi="Times New Roman"/>
          <w:bCs/>
          <w:sz w:val="24"/>
          <w:szCs w:val="24"/>
        </w:rPr>
      </w:pPr>
    </w:p>
    <w:p w14:paraId="76EB887F" w14:textId="77777777" w:rsidR="00F03A83" w:rsidRDefault="00F03A83" w:rsidP="00CE3B62">
      <w:pPr>
        <w:pStyle w:val="Bezodstpw"/>
        <w:spacing w:line="276" w:lineRule="auto"/>
        <w:rPr>
          <w:rFonts w:ascii="Times New Roman" w:hAnsi="Times New Roman"/>
          <w:b/>
          <w:bCs/>
          <w:i/>
          <w:iCs/>
          <w:sz w:val="24"/>
          <w:szCs w:val="24"/>
          <w:u w:val="single"/>
        </w:rPr>
      </w:pPr>
    </w:p>
    <w:p w14:paraId="44E06A0C" w14:textId="77777777" w:rsidR="00F03A83" w:rsidRDefault="00F03A83" w:rsidP="00CE3B62">
      <w:pPr>
        <w:pStyle w:val="Bezodstpw"/>
        <w:spacing w:line="276" w:lineRule="auto"/>
        <w:rPr>
          <w:rFonts w:ascii="Times New Roman" w:hAnsi="Times New Roman"/>
          <w:b/>
          <w:bCs/>
          <w:i/>
          <w:iCs/>
          <w:sz w:val="24"/>
          <w:szCs w:val="24"/>
          <w:u w:val="single"/>
        </w:rPr>
      </w:pPr>
    </w:p>
    <w:p w14:paraId="70511637" w14:textId="77777777"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14:paraId="71CE1D3C" w14:textId="77777777"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14:paraId="0B447E50" w14:textId="77777777"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14:paraId="5DAE6BBF" w14:textId="77777777"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14:paraId="0768706E" w14:textId="77777777"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14:paraId="4CADF0F8" w14:textId="77777777"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14:paraId="20CF1509" w14:textId="6B737F86" w:rsidR="0063663E" w:rsidRPr="000E1874" w:rsidRDefault="0063663E"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
          <w:iCs/>
        </w:rPr>
      </w:pPr>
      <w:r w:rsidRPr="0063663E">
        <w:rPr>
          <w:b/>
          <w:iCs/>
        </w:rPr>
        <w:t xml:space="preserve">Nr </w:t>
      </w:r>
      <w:r w:rsidR="0070488F">
        <w:rPr>
          <w:b/>
          <w:iCs/>
        </w:rPr>
        <w:t>6</w:t>
      </w:r>
      <w:r>
        <w:rPr>
          <w:bCs/>
          <w:iCs/>
        </w:rPr>
        <w:tab/>
        <w:t>Wykaz osób</w:t>
      </w:r>
    </w:p>
    <w:p w14:paraId="193B763B" w14:textId="77777777" w:rsidR="00796608" w:rsidRDefault="00796608" w:rsidP="00CE3B62">
      <w:pPr>
        <w:tabs>
          <w:tab w:val="left" w:pos="7350"/>
        </w:tabs>
        <w:spacing w:line="276" w:lineRule="auto"/>
        <w:rPr>
          <w:b/>
          <w:bCs/>
        </w:rPr>
      </w:pPr>
    </w:p>
    <w:p w14:paraId="1933683D" w14:textId="77777777" w:rsidR="005E0476" w:rsidRDefault="005E0476" w:rsidP="00CE3B62">
      <w:pPr>
        <w:tabs>
          <w:tab w:val="left" w:pos="7350"/>
        </w:tabs>
        <w:spacing w:line="276" w:lineRule="auto"/>
        <w:rPr>
          <w:b/>
          <w:bCs/>
        </w:rPr>
      </w:pPr>
    </w:p>
    <w:p w14:paraId="060337CE" w14:textId="77777777" w:rsidR="00437017" w:rsidRDefault="00437017" w:rsidP="000C30F7">
      <w:pPr>
        <w:tabs>
          <w:tab w:val="left" w:pos="7350"/>
        </w:tabs>
        <w:spacing w:line="276" w:lineRule="auto"/>
        <w:rPr>
          <w:b/>
          <w:bCs/>
        </w:rPr>
      </w:pPr>
    </w:p>
    <w:p w14:paraId="44807E53" w14:textId="77777777" w:rsidR="009E59E2" w:rsidRDefault="009E59E2" w:rsidP="000C30F7">
      <w:pPr>
        <w:tabs>
          <w:tab w:val="left" w:pos="7350"/>
        </w:tabs>
        <w:spacing w:line="276" w:lineRule="auto"/>
        <w:rPr>
          <w:b/>
          <w:bCs/>
        </w:rPr>
      </w:pPr>
    </w:p>
    <w:p w14:paraId="107B219A" w14:textId="77777777" w:rsidR="009E59E2" w:rsidRDefault="009E59E2" w:rsidP="000C30F7">
      <w:pPr>
        <w:tabs>
          <w:tab w:val="left" w:pos="7350"/>
        </w:tabs>
        <w:spacing w:line="276" w:lineRule="auto"/>
        <w:rPr>
          <w:b/>
          <w:bCs/>
        </w:rPr>
      </w:pPr>
    </w:p>
    <w:p w14:paraId="5EC4D68D" w14:textId="77777777" w:rsidR="00437017" w:rsidRDefault="00437017" w:rsidP="000C30F7">
      <w:pPr>
        <w:tabs>
          <w:tab w:val="left" w:pos="7350"/>
        </w:tabs>
        <w:spacing w:line="276" w:lineRule="auto"/>
        <w:rPr>
          <w:b/>
          <w:bCs/>
        </w:rPr>
      </w:pPr>
    </w:p>
    <w:p w14:paraId="4067D59C" w14:textId="77777777" w:rsidR="002C2412" w:rsidRDefault="002C2412" w:rsidP="00CE3B62">
      <w:pPr>
        <w:spacing w:line="276" w:lineRule="auto"/>
        <w:jc w:val="center"/>
        <w:rPr>
          <w:b/>
          <w:bCs/>
        </w:rPr>
      </w:pPr>
    </w:p>
    <w:p w14:paraId="2B8DFECA" w14:textId="77777777" w:rsidR="00D73531" w:rsidRDefault="00D73531" w:rsidP="002C2412">
      <w:pPr>
        <w:spacing w:line="276" w:lineRule="auto"/>
        <w:jc w:val="center"/>
        <w:rPr>
          <w:b/>
          <w:bCs/>
        </w:rPr>
      </w:pPr>
    </w:p>
    <w:p w14:paraId="672B8698" w14:textId="77777777" w:rsidR="00D73531" w:rsidRDefault="00D73531" w:rsidP="002C2412">
      <w:pPr>
        <w:spacing w:line="276" w:lineRule="auto"/>
        <w:jc w:val="center"/>
        <w:rPr>
          <w:b/>
          <w:bCs/>
        </w:rPr>
      </w:pPr>
    </w:p>
    <w:p w14:paraId="6A7A9B35" w14:textId="135E19AB" w:rsidR="002C2412" w:rsidRDefault="00F03A83" w:rsidP="002C2412">
      <w:pPr>
        <w:spacing w:line="276" w:lineRule="auto"/>
        <w:jc w:val="center"/>
        <w:rPr>
          <w:b/>
          <w:bCs/>
        </w:rPr>
      </w:pPr>
      <w:r w:rsidRPr="000F3325">
        <w:rPr>
          <w:b/>
          <w:bCs/>
        </w:rPr>
        <w:t>Jarosław</w:t>
      </w:r>
      <w:r w:rsidRPr="0066325B">
        <w:rPr>
          <w:b/>
          <w:bCs/>
        </w:rPr>
        <w:t xml:space="preserve">, </w:t>
      </w:r>
      <w:r w:rsidR="005A1DF4">
        <w:rPr>
          <w:b/>
          <w:bCs/>
        </w:rPr>
        <w:t>03</w:t>
      </w:r>
      <w:r w:rsidRPr="00A948BF">
        <w:rPr>
          <w:b/>
          <w:bCs/>
        </w:rPr>
        <w:t xml:space="preserve"> </w:t>
      </w:r>
      <w:r w:rsidR="005A1DF4">
        <w:rPr>
          <w:b/>
          <w:bCs/>
        </w:rPr>
        <w:t>czerwiec</w:t>
      </w:r>
      <w:r w:rsidR="008E3CA1">
        <w:rPr>
          <w:b/>
          <w:bCs/>
        </w:rPr>
        <w:t xml:space="preserve"> 202</w:t>
      </w:r>
      <w:r w:rsidR="000E1874">
        <w:rPr>
          <w:b/>
          <w:bCs/>
        </w:rPr>
        <w:t>5</w:t>
      </w:r>
    </w:p>
    <w:p w14:paraId="6231BBB8" w14:textId="77777777" w:rsidR="001D4CCE" w:rsidRDefault="001D4CCE" w:rsidP="002C2412">
      <w:pPr>
        <w:spacing w:line="276" w:lineRule="auto"/>
        <w:jc w:val="center"/>
        <w:rPr>
          <w:b/>
          <w:bCs/>
        </w:rPr>
      </w:pP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14:paraId="7CA142C7" w14:textId="77777777"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14:paraId="518BB62A" w14:textId="7354CE94"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5D29A7">
              <w:rPr>
                <w:webHidden/>
              </w:rPr>
              <w:t>4</w:t>
            </w:r>
            <w:r w:rsidR="007569A4">
              <w:rPr>
                <w:webHidden/>
              </w:rPr>
              <w:fldChar w:fldCharType="end"/>
            </w:r>
          </w:hyperlink>
        </w:p>
        <w:p w14:paraId="77D85C6B" w14:textId="0A0B0F83" w:rsidR="007569A4" w:rsidRDefault="00000000">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5D29A7">
              <w:rPr>
                <w:webHidden/>
              </w:rPr>
              <w:t>4</w:t>
            </w:r>
            <w:r w:rsidR="007569A4">
              <w:rPr>
                <w:webHidden/>
              </w:rPr>
              <w:fldChar w:fldCharType="end"/>
            </w:r>
          </w:hyperlink>
        </w:p>
        <w:p w14:paraId="425E7C0B" w14:textId="019275D1" w:rsidR="007569A4" w:rsidRDefault="00000000">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5D29A7">
              <w:rPr>
                <w:webHidden/>
              </w:rPr>
              <w:t>6</w:t>
            </w:r>
            <w:r w:rsidR="007569A4">
              <w:rPr>
                <w:webHidden/>
              </w:rPr>
              <w:fldChar w:fldCharType="end"/>
            </w:r>
          </w:hyperlink>
        </w:p>
        <w:p w14:paraId="3DC97F8C" w14:textId="284E4514" w:rsidR="007569A4" w:rsidRDefault="00000000">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5D29A7">
              <w:rPr>
                <w:webHidden/>
              </w:rPr>
              <w:t>6</w:t>
            </w:r>
            <w:r w:rsidR="007569A4">
              <w:rPr>
                <w:webHidden/>
              </w:rPr>
              <w:fldChar w:fldCharType="end"/>
            </w:r>
          </w:hyperlink>
        </w:p>
        <w:p w14:paraId="762EF79F" w14:textId="30D5DD5B" w:rsidR="007569A4" w:rsidRDefault="00000000">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5D29A7">
              <w:rPr>
                <w:webHidden/>
              </w:rPr>
              <w:t>7</w:t>
            </w:r>
            <w:r w:rsidR="007569A4">
              <w:rPr>
                <w:webHidden/>
              </w:rPr>
              <w:fldChar w:fldCharType="end"/>
            </w:r>
          </w:hyperlink>
        </w:p>
        <w:p w14:paraId="02DE7FD5" w14:textId="0027874B" w:rsidR="007569A4" w:rsidRDefault="00000000">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5D29A7">
              <w:rPr>
                <w:webHidden/>
              </w:rPr>
              <w:t>7</w:t>
            </w:r>
            <w:r w:rsidR="007569A4">
              <w:rPr>
                <w:webHidden/>
              </w:rPr>
              <w:fldChar w:fldCharType="end"/>
            </w:r>
          </w:hyperlink>
        </w:p>
        <w:p w14:paraId="2CDAC59A" w14:textId="0640249E" w:rsidR="007569A4" w:rsidRDefault="00000000">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5D29A7">
              <w:rPr>
                <w:webHidden/>
              </w:rPr>
              <w:t>8</w:t>
            </w:r>
            <w:r w:rsidR="007569A4">
              <w:rPr>
                <w:webHidden/>
              </w:rPr>
              <w:fldChar w:fldCharType="end"/>
            </w:r>
          </w:hyperlink>
        </w:p>
        <w:p w14:paraId="5FDB79C4" w14:textId="7E303891" w:rsidR="007569A4" w:rsidRDefault="00000000">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5D29A7">
              <w:rPr>
                <w:webHidden/>
              </w:rPr>
              <w:t>8</w:t>
            </w:r>
            <w:r w:rsidR="007569A4">
              <w:rPr>
                <w:webHidden/>
              </w:rPr>
              <w:fldChar w:fldCharType="end"/>
            </w:r>
          </w:hyperlink>
        </w:p>
        <w:p w14:paraId="01DB365D" w14:textId="12432302" w:rsidR="007569A4" w:rsidRDefault="00000000">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5D29A7">
              <w:rPr>
                <w:webHidden/>
              </w:rPr>
              <w:t>8</w:t>
            </w:r>
            <w:r w:rsidR="007569A4">
              <w:rPr>
                <w:webHidden/>
              </w:rPr>
              <w:fldChar w:fldCharType="end"/>
            </w:r>
          </w:hyperlink>
        </w:p>
        <w:p w14:paraId="51C13F50" w14:textId="61B4338D" w:rsidR="007569A4" w:rsidRDefault="00000000">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UDZIAŁU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5D29A7">
              <w:rPr>
                <w:webHidden/>
              </w:rPr>
              <w:t>8</w:t>
            </w:r>
            <w:r w:rsidR="007569A4">
              <w:rPr>
                <w:webHidden/>
              </w:rPr>
              <w:fldChar w:fldCharType="end"/>
            </w:r>
          </w:hyperlink>
        </w:p>
        <w:p w14:paraId="7DA6BC60" w14:textId="529525E7" w:rsidR="007569A4" w:rsidRDefault="00000000">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5D29A7">
              <w:rPr>
                <w:webHidden/>
              </w:rPr>
              <w:t>9</w:t>
            </w:r>
            <w:r w:rsidR="007569A4">
              <w:rPr>
                <w:webHidden/>
              </w:rPr>
              <w:fldChar w:fldCharType="end"/>
            </w:r>
          </w:hyperlink>
        </w:p>
        <w:p w14:paraId="00959754" w14:textId="1443DA3F" w:rsidR="007569A4" w:rsidRDefault="00000000">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5D29A7">
              <w:rPr>
                <w:webHidden/>
              </w:rPr>
              <w:t>9</w:t>
            </w:r>
            <w:r w:rsidR="007569A4">
              <w:rPr>
                <w:webHidden/>
              </w:rPr>
              <w:fldChar w:fldCharType="end"/>
            </w:r>
          </w:hyperlink>
        </w:p>
        <w:p w14:paraId="05DB2D16" w14:textId="66B83149" w:rsidR="007569A4" w:rsidRDefault="00000000">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5D29A7">
              <w:rPr>
                <w:webHidden/>
              </w:rPr>
              <w:t>10</w:t>
            </w:r>
            <w:r w:rsidR="007569A4">
              <w:rPr>
                <w:webHidden/>
              </w:rPr>
              <w:fldChar w:fldCharType="end"/>
            </w:r>
          </w:hyperlink>
        </w:p>
        <w:p w14:paraId="445D67FB" w14:textId="30326BCE" w:rsidR="007569A4" w:rsidRDefault="00000000">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5D29A7">
              <w:rPr>
                <w:webHidden/>
              </w:rPr>
              <w:t>10</w:t>
            </w:r>
            <w:r w:rsidR="007569A4">
              <w:rPr>
                <w:webHidden/>
              </w:rPr>
              <w:fldChar w:fldCharType="end"/>
            </w:r>
          </w:hyperlink>
        </w:p>
        <w:p w14:paraId="4E6AD5FE" w14:textId="5C2182B3" w:rsidR="007569A4" w:rsidRDefault="00000000">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5D29A7">
              <w:rPr>
                <w:webHidden/>
              </w:rPr>
              <w:t>11</w:t>
            </w:r>
            <w:r w:rsidR="007569A4">
              <w:rPr>
                <w:webHidden/>
              </w:rPr>
              <w:fldChar w:fldCharType="end"/>
            </w:r>
          </w:hyperlink>
        </w:p>
        <w:p w14:paraId="73A048A3" w14:textId="70F21B94" w:rsidR="007569A4" w:rsidRDefault="00000000">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5D29A7">
              <w:rPr>
                <w:webHidden/>
              </w:rPr>
              <w:t>11</w:t>
            </w:r>
            <w:r w:rsidR="007569A4">
              <w:rPr>
                <w:webHidden/>
              </w:rPr>
              <w:fldChar w:fldCharType="end"/>
            </w:r>
          </w:hyperlink>
        </w:p>
        <w:p w14:paraId="670F8D79" w14:textId="418ADDCF" w:rsidR="007569A4" w:rsidRDefault="00000000">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5D29A7">
              <w:rPr>
                <w:webHidden/>
              </w:rPr>
              <w:t>12</w:t>
            </w:r>
            <w:r w:rsidR="007569A4">
              <w:rPr>
                <w:webHidden/>
              </w:rPr>
              <w:fldChar w:fldCharType="end"/>
            </w:r>
          </w:hyperlink>
        </w:p>
        <w:p w14:paraId="5AB34953" w14:textId="59A80C0E" w:rsidR="007569A4" w:rsidRDefault="00000000">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5D29A7">
              <w:rPr>
                <w:webHidden/>
              </w:rPr>
              <w:t>12</w:t>
            </w:r>
            <w:r w:rsidR="007569A4">
              <w:rPr>
                <w:webHidden/>
              </w:rPr>
              <w:fldChar w:fldCharType="end"/>
            </w:r>
          </w:hyperlink>
        </w:p>
        <w:p w14:paraId="2B10E459" w14:textId="14966666" w:rsidR="007569A4" w:rsidRDefault="00000000">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5D29A7">
              <w:rPr>
                <w:webHidden/>
              </w:rPr>
              <w:t>12</w:t>
            </w:r>
            <w:r w:rsidR="007569A4">
              <w:rPr>
                <w:webHidden/>
              </w:rPr>
              <w:fldChar w:fldCharType="end"/>
            </w:r>
          </w:hyperlink>
        </w:p>
        <w:p w14:paraId="4214F316" w14:textId="68C478D4" w:rsidR="007569A4" w:rsidRDefault="00000000">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5D29A7">
              <w:rPr>
                <w:webHidden/>
              </w:rPr>
              <w:t>12</w:t>
            </w:r>
            <w:r w:rsidR="007569A4">
              <w:rPr>
                <w:webHidden/>
              </w:rPr>
              <w:fldChar w:fldCharType="end"/>
            </w:r>
          </w:hyperlink>
        </w:p>
        <w:p w14:paraId="38BE7B25" w14:textId="71499A60" w:rsidR="007569A4" w:rsidRDefault="00000000">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5D29A7">
              <w:rPr>
                <w:webHidden/>
              </w:rPr>
              <w:t>14</w:t>
            </w:r>
            <w:r w:rsidR="007569A4">
              <w:rPr>
                <w:webHidden/>
              </w:rPr>
              <w:fldChar w:fldCharType="end"/>
            </w:r>
          </w:hyperlink>
        </w:p>
        <w:p w14:paraId="7E870059" w14:textId="302300C6" w:rsidR="007569A4" w:rsidRDefault="00000000">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5D29A7">
              <w:rPr>
                <w:webHidden/>
              </w:rPr>
              <w:t>14</w:t>
            </w:r>
            <w:r w:rsidR="007569A4">
              <w:rPr>
                <w:webHidden/>
              </w:rPr>
              <w:fldChar w:fldCharType="end"/>
            </w:r>
          </w:hyperlink>
        </w:p>
        <w:p w14:paraId="1C25423B" w14:textId="6C963F92" w:rsidR="007569A4" w:rsidRDefault="00000000">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5D29A7">
              <w:rPr>
                <w:webHidden/>
              </w:rPr>
              <w:t>16</w:t>
            </w:r>
            <w:r w:rsidR="007569A4">
              <w:rPr>
                <w:webHidden/>
              </w:rPr>
              <w:fldChar w:fldCharType="end"/>
            </w:r>
          </w:hyperlink>
        </w:p>
        <w:p w14:paraId="5C6A9A7D" w14:textId="526EBE08" w:rsidR="007569A4" w:rsidRDefault="00000000">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5D29A7">
              <w:rPr>
                <w:webHidden/>
              </w:rPr>
              <w:t>16</w:t>
            </w:r>
            <w:r w:rsidR="007569A4">
              <w:rPr>
                <w:webHidden/>
              </w:rPr>
              <w:fldChar w:fldCharType="end"/>
            </w:r>
          </w:hyperlink>
        </w:p>
        <w:p w14:paraId="00B58B13" w14:textId="450AFB1D" w:rsidR="007569A4" w:rsidRDefault="00000000">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5D29A7">
              <w:rPr>
                <w:webHidden/>
              </w:rPr>
              <w:t>17</w:t>
            </w:r>
            <w:r w:rsidR="007569A4">
              <w:rPr>
                <w:webHidden/>
              </w:rPr>
              <w:fldChar w:fldCharType="end"/>
            </w:r>
          </w:hyperlink>
        </w:p>
        <w:p w14:paraId="4FA50D53" w14:textId="1655134A" w:rsidR="007569A4" w:rsidRDefault="00000000">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5D29A7">
              <w:rPr>
                <w:webHidden/>
              </w:rPr>
              <w:t>17</w:t>
            </w:r>
            <w:r w:rsidR="007569A4">
              <w:rPr>
                <w:webHidden/>
              </w:rPr>
              <w:fldChar w:fldCharType="end"/>
            </w:r>
          </w:hyperlink>
        </w:p>
        <w:p w14:paraId="09FD168D" w14:textId="7EB371EB" w:rsidR="007569A4" w:rsidRDefault="00000000">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5D29A7">
              <w:rPr>
                <w:webHidden/>
              </w:rPr>
              <w:t>17</w:t>
            </w:r>
            <w:r w:rsidR="007569A4">
              <w:rPr>
                <w:webHidden/>
              </w:rPr>
              <w:fldChar w:fldCharType="end"/>
            </w:r>
          </w:hyperlink>
        </w:p>
        <w:p w14:paraId="4D56E5A8" w14:textId="6901C30F" w:rsidR="007569A4" w:rsidRDefault="00000000">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5D29A7">
              <w:rPr>
                <w:webHidden/>
              </w:rPr>
              <w:t>17</w:t>
            </w:r>
            <w:r w:rsidR="007569A4">
              <w:rPr>
                <w:webHidden/>
              </w:rPr>
              <w:fldChar w:fldCharType="end"/>
            </w:r>
          </w:hyperlink>
        </w:p>
        <w:p w14:paraId="19B52DFB" w14:textId="6E2F442D" w:rsidR="007569A4" w:rsidRDefault="00000000">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5D29A7">
              <w:rPr>
                <w:webHidden/>
              </w:rPr>
              <w:t>18</w:t>
            </w:r>
            <w:r w:rsidR="007569A4">
              <w:rPr>
                <w:webHidden/>
              </w:rPr>
              <w:fldChar w:fldCharType="end"/>
            </w:r>
          </w:hyperlink>
        </w:p>
        <w:p w14:paraId="56B1C8C1" w14:textId="00D89F52" w:rsidR="007569A4" w:rsidRDefault="00000000">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5D29A7">
              <w:rPr>
                <w:webHidden/>
              </w:rPr>
              <w:t>18</w:t>
            </w:r>
            <w:r w:rsidR="007569A4">
              <w:rPr>
                <w:webHidden/>
              </w:rPr>
              <w:fldChar w:fldCharType="end"/>
            </w:r>
          </w:hyperlink>
        </w:p>
        <w:p w14:paraId="7D6F7465" w14:textId="60256E67" w:rsidR="007569A4" w:rsidRDefault="00000000">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5D29A7">
              <w:rPr>
                <w:webHidden/>
              </w:rPr>
              <w:t>19</w:t>
            </w:r>
            <w:r w:rsidR="007569A4">
              <w:rPr>
                <w:webHidden/>
              </w:rPr>
              <w:fldChar w:fldCharType="end"/>
            </w:r>
          </w:hyperlink>
        </w:p>
        <w:p w14:paraId="37D13031" w14:textId="5A66362E" w:rsidR="007569A4" w:rsidRDefault="00000000">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5D29A7">
              <w:rPr>
                <w:webHidden/>
              </w:rPr>
              <w:t>19</w:t>
            </w:r>
            <w:r w:rsidR="007569A4">
              <w:rPr>
                <w:webHidden/>
              </w:rPr>
              <w:fldChar w:fldCharType="end"/>
            </w:r>
          </w:hyperlink>
        </w:p>
        <w:p w14:paraId="6F32980C" w14:textId="1D0477D7" w:rsidR="007569A4" w:rsidRDefault="00000000">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5D29A7">
              <w:rPr>
                <w:webHidden/>
              </w:rPr>
              <w:t>19</w:t>
            </w:r>
            <w:r w:rsidR="007569A4">
              <w:rPr>
                <w:webHidden/>
              </w:rPr>
              <w:fldChar w:fldCharType="end"/>
            </w:r>
          </w:hyperlink>
        </w:p>
        <w:p w14:paraId="02FFF2CF" w14:textId="05D7CF98" w:rsidR="007569A4" w:rsidRDefault="00000000">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5D29A7">
              <w:rPr>
                <w:webHidden/>
              </w:rPr>
              <w:t>19</w:t>
            </w:r>
            <w:r w:rsidR="007569A4">
              <w:rPr>
                <w:webHidden/>
              </w:rPr>
              <w:fldChar w:fldCharType="end"/>
            </w:r>
          </w:hyperlink>
        </w:p>
        <w:p w14:paraId="301298C9" w14:textId="15E71D4A" w:rsidR="007569A4" w:rsidRDefault="00000000">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5D29A7">
              <w:rPr>
                <w:webHidden/>
              </w:rPr>
              <w:t>19</w:t>
            </w:r>
            <w:r w:rsidR="007569A4">
              <w:rPr>
                <w:webHidden/>
              </w:rPr>
              <w:fldChar w:fldCharType="end"/>
            </w:r>
          </w:hyperlink>
        </w:p>
        <w:p w14:paraId="547C2998" w14:textId="703246BF" w:rsidR="007569A4" w:rsidRDefault="00000000">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5D29A7">
              <w:rPr>
                <w:webHidden/>
              </w:rPr>
              <w:t>19</w:t>
            </w:r>
            <w:r w:rsidR="007569A4">
              <w:rPr>
                <w:webHidden/>
              </w:rPr>
              <w:fldChar w:fldCharType="end"/>
            </w:r>
          </w:hyperlink>
        </w:p>
        <w:p w14:paraId="3A547D24" w14:textId="152E752D" w:rsidR="007569A4" w:rsidRDefault="00000000">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5D29A7">
              <w:rPr>
                <w:webHidden/>
              </w:rPr>
              <w:t>20</w:t>
            </w:r>
            <w:r w:rsidR="007569A4">
              <w:rPr>
                <w:webHidden/>
              </w:rPr>
              <w:fldChar w:fldCharType="end"/>
            </w:r>
          </w:hyperlink>
        </w:p>
        <w:p w14:paraId="5651AE83" w14:textId="0D8CB270" w:rsidR="007569A4" w:rsidRDefault="00000000">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5D29A7">
              <w:rPr>
                <w:webHidden/>
              </w:rPr>
              <w:t>20</w:t>
            </w:r>
            <w:r w:rsidR="007569A4">
              <w:rPr>
                <w:webHidden/>
              </w:rPr>
              <w:fldChar w:fldCharType="end"/>
            </w:r>
          </w:hyperlink>
        </w:p>
        <w:p w14:paraId="16A0A8AA" w14:textId="2893EE17" w:rsidR="007569A4" w:rsidRDefault="00000000">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5D29A7">
              <w:rPr>
                <w:webHidden/>
              </w:rPr>
              <w:t>20</w:t>
            </w:r>
            <w:r w:rsidR="007569A4">
              <w:rPr>
                <w:webHidden/>
              </w:rPr>
              <w:fldChar w:fldCharType="end"/>
            </w:r>
          </w:hyperlink>
        </w:p>
        <w:p w14:paraId="2C7349C4" w14:textId="0054A7A4" w:rsidR="007569A4" w:rsidRDefault="00000000">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5D29A7">
              <w:rPr>
                <w:webHidden/>
              </w:rPr>
              <w:t>20</w:t>
            </w:r>
            <w:r w:rsidR="007569A4">
              <w:rPr>
                <w:webHidden/>
              </w:rPr>
              <w:fldChar w:fldCharType="end"/>
            </w:r>
          </w:hyperlink>
        </w:p>
        <w:p w14:paraId="5DE1AD08" w14:textId="77777777" w:rsidR="00F03A83" w:rsidRPr="000F3325" w:rsidRDefault="00F03A83" w:rsidP="002C2412">
          <w:pPr>
            <w:pStyle w:val="Spistreci1"/>
            <w:sectPr w:rsidR="00F03A83" w:rsidRPr="000F3325" w:rsidSect="000F0F91">
              <w:footerReference w:type="default" r:id="rId7"/>
              <w:pgSz w:w="11906" w:h="16838" w:code="9"/>
              <w:pgMar w:top="1418" w:right="1418" w:bottom="1418" w:left="1418" w:header="567" w:footer="709" w:gutter="0"/>
              <w:cols w:space="708"/>
              <w:titlePg/>
              <w:docGrid w:linePitch="360"/>
            </w:sectPr>
          </w:pPr>
          <w:r w:rsidRPr="000F3325">
            <w:rPr>
              <w:b/>
            </w:rPr>
            <w:fldChar w:fldCharType="end"/>
          </w:r>
        </w:p>
      </w:sdtContent>
    </w:sdt>
    <w:p w14:paraId="35B7FB07"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14:paraId="6E25FD5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14:paraId="42746BCA" w14:textId="77777777"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14:paraId="0BDE8E27" w14:textId="77777777" w:rsidTr="000F0F91">
        <w:trPr>
          <w:trHeight w:val="1123"/>
        </w:trPr>
        <w:tc>
          <w:tcPr>
            <w:tcW w:w="3681" w:type="dxa"/>
            <w:vAlign w:val="center"/>
          </w:tcPr>
          <w:p w14:paraId="0757E9FF"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14:paraId="52B8854C" w14:textId="77777777"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14:paraId="07210E78" w14:textId="77777777" w:rsidTr="000F0F91">
        <w:trPr>
          <w:trHeight w:val="1123"/>
        </w:trPr>
        <w:tc>
          <w:tcPr>
            <w:tcW w:w="3681" w:type="dxa"/>
            <w:vAlign w:val="center"/>
          </w:tcPr>
          <w:p w14:paraId="740023F7"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14:paraId="4470A49B" w14:textId="77777777" w:rsidR="00F03A83" w:rsidRPr="000F3325" w:rsidRDefault="00F03A83" w:rsidP="00CE3B62">
            <w:pPr>
              <w:spacing w:line="276" w:lineRule="auto"/>
              <w:ind w:firstLine="28"/>
              <w:jc w:val="center"/>
              <w:rPr>
                <w:bCs/>
                <w:iCs/>
              </w:rPr>
            </w:pPr>
          </w:p>
        </w:tc>
        <w:tc>
          <w:tcPr>
            <w:tcW w:w="5805" w:type="dxa"/>
            <w:vAlign w:val="center"/>
          </w:tcPr>
          <w:p w14:paraId="30679B1D" w14:textId="77777777" w:rsidR="00F03A83" w:rsidRPr="000F3325" w:rsidRDefault="00F03A83" w:rsidP="00CE3B62">
            <w:pPr>
              <w:spacing w:line="276" w:lineRule="auto"/>
              <w:jc w:val="center"/>
              <w:rPr>
                <w:b/>
                <w:color w:val="002060"/>
              </w:rPr>
            </w:pPr>
          </w:p>
          <w:p w14:paraId="11B661FB" w14:textId="77777777" w:rsidR="00F03A83" w:rsidRPr="000F3325" w:rsidRDefault="00F03A83" w:rsidP="00CE3B62">
            <w:pPr>
              <w:spacing w:line="276" w:lineRule="auto"/>
              <w:jc w:val="center"/>
            </w:pPr>
            <w:r w:rsidRPr="000F3325">
              <w:rPr>
                <w:b/>
                <w:color w:val="002060"/>
              </w:rPr>
              <w:t>Rynek 1, 37-500 Jarosław</w:t>
            </w:r>
          </w:p>
          <w:p w14:paraId="1CD9A7BD" w14:textId="77777777"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14:paraId="6504B10F" w14:textId="77777777"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14:paraId="00097D85" w14:textId="77777777"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8" w:history="1">
              <w:r w:rsidRPr="00164693">
                <w:rPr>
                  <w:rFonts w:ascii="Times New Roman" w:hAnsi="Times New Roman"/>
                  <w:color w:val="0000FF"/>
                  <w:sz w:val="24"/>
                  <w:szCs w:val="24"/>
                  <w:u w:val="single"/>
                </w:rPr>
                <w:t>kancelaria@um.jaroslaw.pl</w:t>
              </w:r>
            </w:hyperlink>
          </w:p>
        </w:tc>
      </w:tr>
      <w:tr w:rsidR="00F03A83" w:rsidRPr="000F3325" w14:paraId="573943EE" w14:textId="77777777" w:rsidTr="000F0F91">
        <w:trPr>
          <w:trHeight w:val="1123"/>
        </w:trPr>
        <w:tc>
          <w:tcPr>
            <w:tcW w:w="3681" w:type="dxa"/>
            <w:vAlign w:val="center"/>
          </w:tcPr>
          <w:p w14:paraId="1A34B916"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14:paraId="00A6A322"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poniedziałek, środa, czwartek 7:30 – 15:30</w:t>
            </w:r>
          </w:p>
          <w:p w14:paraId="13CD11F7"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wtorek 7:30 – 17:00</w:t>
            </w:r>
          </w:p>
          <w:p w14:paraId="73AD378E" w14:textId="5AFAB201" w:rsidR="00F03A83" w:rsidRPr="000F3325"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piątek 7:30 – 14:00</w:t>
            </w:r>
          </w:p>
        </w:tc>
      </w:tr>
      <w:tr w:rsidR="00F03A83" w:rsidRPr="000F3325" w14:paraId="1B331C45" w14:textId="77777777" w:rsidTr="000F0F91">
        <w:trPr>
          <w:trHeight w:val="1123"/>
        </w:trPr>
        <w:tc>
          <w:tcPr>
            <w:tcW w:w="3681" w:type="dxa"/>
            <w:vAlign w:val="center"/>
          </w:tcPr>
          <w:p w14:paraId="4AEFE723" w14:textId="77777777"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14:paraId="70831635" w14:textId="77777777"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14:paraId="6FF7F00E" w14:textId="77777777" w:rsidR="00F03A83" w:rsidRPr="000F3325" w:rsidRDefault="00F03A83" w:rsidP="00CE3B62">
            <w:pPr>
              <w:pStyle w:val="Bezodstpw"/>
              <w:spacing w:line="276" w:lineRule="auto"/>
              <w:ind w:left="37"/>
              <w:jc w:val="center"/>
              <w:rPr>
                <w:rFonts w:ascii="Times New Roman" w:hAnsi="Times New Roman"/>
                <w:bCs/>
                <w:sz w:val="24"/>
                <w:szCs w:val="24"/>
              </w:rPr>
            </w:pPr>
          </w:p>
          <w:p w14:paraId="15C12C38" w14:textId="0DA4C0A9"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r w:rsidR="000E1874">
              <w:rPr>
                <w:rFonts w:ascii="Times New Roman" w:hAnsi="Times New Roman"/>
                <w:bCs/>
                <w:sz w:val="24"/>
                <w:szCs w:val="24"/>
              </w:rPr>
              <w:t>, Marcin Giliciński</w:t>
            </w:r>
          </w:p>
          <w:p w14:paraId="2ECA1FCF" w14:textId="77777777"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14:paraId="590E962E" w14:textId="77777777" w:rsidTr="000F0F91">
        <w:trPr>
          <w:trHeight w:val="1123"/>
        </w:trPr>
        <w:tc>
          <w:tcPr>
            <w:tcW w:w="3681" w:type="dxa"/>
            <w:vAlign w:val="center"/>
          </w:tcPr>
          <w:p w14:paraId="12D05544"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14:paraId="5D63CF25" w14:textId="77777777"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14:paraId="1FA45774" w14:textId="77777777" w:rsidR="00F03A83" w:rsidRPr="000F3325" w:rsidRDefault="00F03A83" w:rsidP="00CE3B62">
      <w:pPr>
        <w:spacing w:line="276" w:lineRule="auto"/>
        <w:jc w:val="both"/>
        <w:rPr>
          <w:bCs/>
          <w:iCs/>
        </w:rPr>
      </w:pPr>
    </w:p>
    <w:p w14:paraId="7EBBB077" w14:textId="74905862"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0E1874">
        <w:rPr>
          <w:bCs/>
          <w:i/>
          <w:iCs/>
        </w:rPr>
        <w:t>4</w:t>
      </w:r>
      <w:r>
        <w:rPr>
          <w:bCs/>
          <w:i/>
          <w:iCs/>
        </w:rPr>
        <w:t xml:space="preserve"> </w:t>
      </w:r>
      <w:r w:rsidRPr="000F3325">
        <w:rPr>
          <w:bCs/>
          <w:i/>
          <w:iCs/>
        </w:rPr>
        <w:t xml:space="preserve">r., poz. </w:t>
      </w:r>
      <w:r w:rsidR="00F15BD4">
        <w:rPr>
          <w:bCs/>
          <w:i/>
          <w:iCs/>
        </w:rPr>
        <w:t>1</w:t>
      </w:r>
      <w:r w:rsidR="000E1874">
        <w:rPr>
          <w:bCs/>
          <w:i/>
          <w:iCs/>
        </w:rPr>
        <w:t>320</w:t>
      </w:r>
      <w:r w:rsidRPr="000F3325">
        <w:rPr>
          <w:bCs/>
          <w:i/>
          <w:iCs/>
        </w:rPr>
        <w:t xml:space="preserve"> z późn. zm.</w:t>
      </w:r>
      <w:r w:rsidRPr="000F3325">
        <w:rPr>
          <w:bCs/>
          <w:iCs/>
        </w:rPr>
        <w:t>) zwanej uPzp.</w:t>
      </w:r>
    </w:p>
    <w:p w14:paraId="016DAF55" w14:textId="77777777"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14:paraId="67EC0B25" w14:textId="77777777"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Szacunkowa wartość przedmiotowego zamówienia nie przekracza progów unijnych o jakich mowa w art. 3 uPzp.</w:t>
      </w:r>
    </w:p>
    <w:p w14:paraId="65747E48" w14:textId="77777777"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Do prowadzonego postępowania zastosowanie mają także akty wykonawcze do wymienionej uPzp, w szczególności:</w:t>
      </w:r>
    </w:p>
    <w:p w14:paraId="411D6E6B"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14:paraId="2121C5AE"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14:paraId="27A970A4" w14:textId="77777777"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14:paraId="2A53018C" w14:textId="77777777"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eli przepisy uPzp nie stanowi</w:t>
      </w:r>
      <w:r w:rsidRPr="000F3325">
        <w:rPr>
          <w:rFonts w:eastAsia="TimesNewRoman"/>
        </w:rPr>
        <w:t xml:space="preserve">ą </w:t>
      </w:r>
      <w:r w:rsidRPr="000F3325">
        <w:t>inaczej.</w:t>
      </w:r>
    </w:p>
    <w:p w14:paraId="4D6F13A7" w14:textId="77777777"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14:paraId="3951C58F" w14:textId="77777777"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14:paraId="1114DB44" w14:textId="77777777"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14:paraId="682C6AC9" w14:textId="77777777"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14:paraId="0B098BDF"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14:paraId="08479E3E" w14:textId="77777777"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9" w:history="1">
        <w:r w:rsidRPr="00AE61BD">
          <w:rPr>
            <w:rStyle w:val="Hipercze"/>
            <w:rFonts w:ascii="Times New Roman" w:eastAsiaTheme="minorHAnsi" w:hAnsi="Times New Roman"/>
            <w:sz w:val="24"/>
            <w:szCs w:val="24"/>
          </w:rPr>
          <w:t>iod@um.jaroslaw.pl</w:t>
        </w:r>
      </w:hyperlink>
    </w:p>
    <w:p w14:paraId="3E8E54CA"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przetwarzane będą na podstawie art. 6 ust. 1 lit. c RODO w celu wyłonienia wykonawcy w przedmiotowym postępowaniu o zamówienie publiczne przeprowadzane zgodnie z uPzp oraz w pozost</w:t>
      </w:r>
      <w:r>
        <w:rPr>
          <w:rFonts w:ascii="Times New Roman" w:hAnsi="Times New Roman"/>
          <w:sz w:val="24"/>
          <w:szCs w:val="24"/>
        </w:rPr>
        <w:t>ałych celach określonych w uPzp;</w:t>
      </w:r>
    </w:p>
    <w:p w14:paraId="75579FEC"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będą przechowywane, zgodnie z art. 78 ust. 1 uPzp,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14:paraId="3D9F1912"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postępowania w oparciu o art. 74 uPzp;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(POIiŚ 2014-2020);</w:t>
      </w:r>
    </w:p>
    <w:p w14:paraId="1B919697" w14:textId="77777777"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14:paraId="3B4AEA89"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14:paraId="44144EC7"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14:paraId="5A1F0D4C"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14:paraId="744DF0C0" w14:textId="77777777"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14:paraId="6D19F547" w14:textId="77777777"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14:paraId="17E384A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14:paraId="0E63D44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14:paraId="26D28B32" w14:textId="77777777"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14:paraId="7632BEE0" w14:textId="77777777"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14:paraId="13D17CAE" w14:textId="77777777"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Pani/Pana dane osobowe będą przekazywane do państwa trzeciego (poza UE) /organizacji międzynarodowej na zasadach określonych w uPzp. Może Pan/ Pani uzyskać kopię danych osobowych przekazywanych do państwa trzeciego na zasadach wynikających z uPzp</w:t>
      </w:r>
      <w:r>
        <w:rPr>
          <w:rFonts w:ascii="Times New Roman" w:hAnsi="Times New Roman"/>
          <w:sz w:val="24"/>
          <w:szCs w:val="24"/>
        </w:rPr>
        <w:t>;</w:t>
      </w:r>
    </w:p>
    <w:p w14:paraId="66A8E8DD"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8FA555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36A858B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35F9521" w14:textId="77777777"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r w:rsidRPr="00680CCF">
        <w:rPr>
          <w:rFonts w:ascii="Times New Roman" w:hAnsi="Times New Roman"/>
          <w:sz w:val="24"/>
        </w:rPr>
        <w:t>uPzp, związanym z udziałem w postępowaniu o udzielenie zamówienia publicznego i jest warunkiem zawarcia umowy o zamówienie publiczne.</w:t>
      </w:r>
    </w:p>
    <w:p w14:paraId="34E9057B" w14:textId="77777777"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(POIiŚ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Funkcjonalno–Użytkowym  stanowiącym załącznik nr 2 do niniejszego zamówienia.</w:t>
      </w:r>
    </w:p>
    <w:p w14:paraId="6A840823"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14:paraId="6639195A" w14:textId="77777777"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14:paraId="378E8E74" w14:textId="47665394" w:rsidR="00B814F5" w:rsidRPr="005749D5" w:rsidRDefault="00210A6D" w:rsidP="005749D5">
      <w:pPr>
        <w:pStyle w:val="Akapitzlist"/>
        <w:numPr>
          <w:ilvl w:val="0"/>
          <w:numId w:val="39"/>
        </w:numPr>
        <w:spacing w:before="120"/>
        <w:ind w:left="284" w:hanging="284"/>
        <w:jc w:val="both"/>
        <w:rPr>
          <w:rFonts w:ascii="Times New Roman" w:hAnsi="Times New Roman"/>
          <w:sz w:val="24"/>
        </w:rPr>
      </w:pPr>
      <w:r w:rsidRPr="005749D5">
        <w:rPr>
          <w:rFonts w:ascii="Times New Roman" w:hAnsi="Times New Roman"/>
          <w:sz w:val="24"/>
        </w:rPr>
        <w:t>Przedmiotem zamówienia jest</w:t>
      </w:r>
      <w:r w:rsidR="006D5A9D" w:rsidRPr="005749D5">
        <w:rPr>
          <w:rFonts w:ascii="Times New Roman" w:hAnsi="Times New Roman"/>
          <w:sz w:val="24"/>
        </w:rPr>
        <w:t>:</w:t>
      </w:r>
      <w:r w:rsidR="000E1874">
        <w:rPr>
          <w:rFonts w:ascii="Times New Roman" w:hAnsi="Times New Roman"/>
          <w:sz w:val="24"/>
        </w:rPr>
        <w:t xml:space="preserve"> </w:t>
      </w:r>
      <w:r w:rsidR="00B47EBD" w:rsidRPr="00B47EBD">
        <w:rPr>
          <w:rFonts w:ascii="Times New Roman" w:hAnsi="Times New Roman"/>
          <w:b/>
          <w:color w:val="990000"/>
          <w:sz w:val="24"/>
          <w:szCs w:val="24"/>
          <w:lang w:eastAsia="pl-PL"/>
        </w:rPr>
        <w:t>Opracowanie dokumentacji dla potrzeb budowy tężni solankowej na części działki nr 3119/60 obr 4 Jarosław wraz z infrastrukturą towarzyszącą w ramach zadania „Budżet obywatelski. Budowa tężni solankowej”</w:t>
      </w:r>
      <w:r w:rsidR="00B47EBD">
        <w:rPr>
          <w:rFonts w:ascii="Times New Roman" w:hAnsi="Times New Roman"/>
          <w:b/>
          <w:color w:val="990000"/>
          <w:sz w:val="24"/>
          <w:szCs w:val="24"/>
          <w:lang w:eastAsia="pl-PL"/>
        </w:rPr>
        <w:t>.</w:t>
      </w:r>
    </w:p>
    <w:p w14:paraId="72FBBC2C" w14:textId="49FE99FD"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793A40">
        <w:rPr>
          <w:rFonts w:ascii="Times New Roman" w:hAnsi="Times New Roman"/>
          <w:sz w:val="24"/>
        </w:rPr>
        <w:t>71.</w:t>
      </w:r>
      <w:r w:rsidR="00B47EBD">
        <w:rPr>
          <w:rFonts w:ascii="Times New Roman" w:hAnsi="Times New Roman"/>
          <w:sz w:val="24"/>
        </w:rPr>
        <w:t>3</w:t>
      </w:r>
      <w:r w:rsidR="00793A40">
        <w:rPr>
          <w:rFonts w:ascii="Times New Roman" w:hAnsi="Times New Roman"/>
          <w:sz w:val="24"/>
        </w:rPr>
        <w:t xml:space="preserve">2.00.00 – </w:t>
      </w:r>
      <w:r w:rsidR="00B47EBD">
        <w:rPr>
          <w:rFonts w:ascii="Times New Roman" w:hAnsi="Times New Roman"/>
          <w:sz w:val="24"/>
        </w:rPr>
        <w:t>7, 71.22.00.00 – 6.</w:t>
      </w:r>
    </w:p>
    <w:p w14:paraId="3E6EE17D" w14:textId="78CC1B0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w:t>
      </w:r>
      <w:r w:rsidR="001D7AF8">
        <w:rPr>
          <w:rFonts w:ascii="Times New Roman" w:hAnsi="Times New Roman"/>
          <w:sz w:val="24"/>
          <w:lang w:eastAsia="ar-SA"/>
        </w:rPr>
        <w:t>stanowi</w:t>
      </w:r>
      <w:r w:rsidRPr="005749D5">
        <w:rPr>
          <w:rFonts w:ascii="Times New Roman" w:hAnsi="Times New Roman"/>
          <w:sz w:val="24"/>
          <w:lang w:eastAsia="ar-SA"/>
        </w:rPr>
        <w:t xml:space="preserve"> projekt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opis przedmiotu zamówienia stanowiący</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14:paraId="6749225E" w14:textId="31AFDDB9"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eastAsia="SimSun" w:hAnsi="Times New Roman"/>
          <w:color w:val="000000"/>
          <w:sz w:val="24"/>
          <w:lang w:eastAsia="zh-CN"/>
        </w:rPr>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w:t>
      </w:r>
      <w:r w:rsidR="001D7AF8">
        <w:rPr>
          <w:rFonts w:ascii="Times New Roman" w:hAnsi="Times New Roman"/>
          <w:sz w:val="24"/>
        </w:rPr>
        <w:t>a</w:t>
      </w:r>
      <w:r w:rsidRPr="005749D5">
        <w:rPr>
          <w:rFonts w:ascii="Times New Roman" w:hAnsi="Times New Roman"/>
          <w:sz w:val="24"/>
        </w:rPr>
        <w:t xml:space="preserv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14:paraId="7BB85320" w14:textId="0C905D16"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Zamawiający</w:t>
      </w:r>
      <w:r w:rsidR="00793A40">
        <w:rPr>
          <w:rFonts w:ascii="Times New Roman" w:hAnsi="Times New Roman"/>
          <w:sz w:val="24"/>
        </w:rPr>
        <w:t xml:space="preserve"> </w:t>
      </w:r>
      <w:r w:rsidRPr="005749D5">
        <w:rPr>
          <w:rFonts w:ascii="Times New Roman" w:hAnsi="Times New Roman"/>
          <w:sz w:val="24"/>
        </w:rPr>
        <w:t xml:space="preserve">przewiduje wymagania w zakresie zatrudnienia na podstawie stosunku pracy, w okolicznościach o których mowa w art. 95 uPzp.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793A40">
        <w:rPr>
          <w:rFonts w:ascii="Times New Roman" w:hAnsi="Times New Roman"/>
          <w:sz w:val="24"/>
        </w:rPr>
        <w:lastRenderedPageBreak/>
        <w:t>wykonanie projektu</w:t>
      </w:r>
      <w:r w:rsidR="00832604">
        <w:rPr>
          <w:rFonts w:ascii="Times New Roman" w:hAnsi="Times New Roman"/>
          <w:sz w:val="24"/>
        </w:rPr>
        <w:t xml:space="preserve"> (</w:t>
      </w:r>
      <w:r w:rsidR="00B97315">
        <w:rPr>
          <w:rFonts w:ascii="Times New Roman" w:hAnsi="Times New Roman"/>
          <w:sz w:val="24"/>
        </w:rPr>
        <w:t>1</w:t>
      </w:r>
      <w:r w:rsidR="00832604">
        <w:rPr>
          <w:rFonts w:ascii="Times New Roman" w:hAnsi="Times New Roman"/>
          <w:sz w:val="24"/>
        </w:rPr>
        <w:t xml:space="preserve"> osob</w:t>
      </w:r>
      <w:r w:rsidR="00B97315">
        <w:rPr>
          <w:rFonts w:ascii="Times New Roman" w:hAnsi="Times New Roman"/>
          <w:sz w:val="24"/>
        </w:rPr>
        <w:t>a</w:t>
      </w:r>
      <w:r w:rsidR="00832604">
        <w:rPr>
          <w:rFonts w:ascii="Times New Roman" w:hAnsi="Times New Roman"/>
          <w:sz w:val="24"/>
        </w:rPr>
        <w:t>)</w:t>
      </w:r>
      <w:r w:rsidR="00CE119E">
        <w:rPr>
          <w:rFonts w:ascii="Times New Roman" w:hAnsi="Times New Roman"/>
          <w:sz w:val="24"/>
        </w:rPr>
        <w:t>.</w:t>
      </w:r>
      <w:r w:rsidRPr="005749D5">
        <w:rPr>
          <w:rFonts w:ascii="Times New Roman" w:hAnsi="Times New Roman"/>
          <w:sz w:val="24"/>
        </w:rPr>
        <w:t xml:space="preserve"> </w:t>
      </w:r>
      <w:r w:rsidR="00793A40">
        <w:rPr>
          <w:rFonts w:ascii="Times New Roman" w:hAnsi="Times New Roman"/>
          <w:sz w:val="24"/>
        </w:rPr>
        <w:t>Wymóg ten nie dotyczy osób prowadzących jednoosobową działalność gospodarczą.</w:t>
      </w:r>
    </w:p>
    <w:p w14:paraId="6959F0CD" w14:textId="408AE57B"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Wykaz pracowników wykonujących czynności w zakresie realizacji przedmiotu zamówienia stanowi załącznik do umowy. Wykonawca w terminie 10 dni licząc od dnia podpisania umowy będzie zobowiązany do </w:t>
      </w:r>
      <w:r w:rsidR="00832604">
        <w:rPr>
          <w:rFonts w:ascii="Times New Roman" w:hAnsi="Times New Roman"/>
          <w:sz w:val="24"/>
        </w:rPr>
        <w:t>złożenia</w:t>
      </w:r>
      <w:r w:rsidRPr="005749D5">
        <w:rPr>
          <w:rFonts w:ascii="Times New Roman" w:hAnsi="Times New Roman"/>
          <w:sz w:val="24"/>
        </w:rPr>
        <w:t xml:space="preserve"> Zamawiającemu</w:t>
      </w:r>
      <w:r w:rsidR="00832604">
        <w:rPr>
          <w:rFonts w:ascii="Times New Roman" w:hAnsi="Times New Roman"/>
          <w:sz w:val="24"/>
        </w:rPr>
        <w:t xml:space="preserve"> </w:t>
      </w:r>
      <w:r w:rsidRPr="005749D5">
        <w:rPr>
          <w:rFonts w:ascii="Times New Roman" w:hAnsi="Times New Roman"/>
          <w:sz w:val="24"/>
        </w:rPr>
        <w:t>oświadcze</w:t>
      </w:r>
      <w:r w:rsidR="00832604">
        <w:rPr>
          <w:rFonts w:ascii="Times New Roman" w:hAnsi="Times New Roman"/>
          <w:sz w:val="24"/>
        </w:rPr>
        <w:t>nia o zatrudnieniu na podstawie stosunku pracy (</w:t>
      </w:r>
      <w:r w:rsidR="00832604" w:rsidRPr="005749D5">
        <w:rPr>
          <w:rFonts w:ascii="Times New Roman" w:hAnsi="Times New Roman"/>
          <w:sz w:val="24"/>
        </w:rPr>
        <w:t>w rozumieniu przepisów ustawy z dnia 26 czerwca 1974 r. Kodeks Pracy</w:t>
      </w:r>
      <w:r w:rsidR="00832604">
        <w:rPr>
          <w:rFonts w:ascii="Times New Roman" w:hAnsi="Times New Roman"/>
          <w:sz w:val="24"/>
        </w:rPr>
        <w:t>) osób wykonujących czynności w zamówieniu</w:t>
      </w:r>
      <w:r w:rsidRPr="005749D5">
        <w:rPr>
          <w:rFonts w:ascii="Times New Roman" w:hAnsi="Times New Roman"/>
          <w:sz w:val="24"/>
        </w:rPr>
        <w:t>.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832604">
        <w:rPr>
          <w:rFonts w:ascii="Times New Roman" w:hAnsi="Times New Roman"/>
          <w:sz w:val="24"/>
        </w:rPr>
        <w:t xml:space="preserve">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832604">
        <w:rPr>
          <w:rFonts w:ascii="Times New Roman" w:hAnsi="Times New Roman"/>
          <w:sz w:val="24"/>
        </w:rPr>
        <w:t xml:space="preserve">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w:t>
      </w:r>
      <w:r w:rsidR="00832604">
        <w:rPr>
          <w:rFonts w:ascii="Times New Roman" w:hAnsi="Times New Roman"/>
          <w:sz w:val="24"/>
        </w:rPr>
        <w:t>nia,</w:t>
      </w:r>
      <w:r w:rsidRPr="005749D5">
        <w:rPr>
          <w:rFonts w:ascii="Times New Roman" w:hAnsi="Times New Roman"/>
          <w:sz w:val="24"/>
        </w:rPr>
        <w:t xml:space="preserve">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w:t>
      </w:r>
      <w:r w:rsidR="00832604">
        <w:rPr>
          <w:rFonts w:ascii="Times New Roman" w:hAnsi="Times New Roman"/>
          <w:sz w:val="24"/>
        </w:rPr>
        <w:t>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14:paraId="3A77E42E" w14:textId="0F1034F0" w:rsidR="00F0097B" w:rsidRPr="005749D5" w:rsidRDefault="00F0097B" w:rsidP="00F0097B">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w:t>
      </w:r>
      <w:r w:rsidR="00832604">
        <w:rPr>
          <w:rFonts w:ascii="Times New Roman" w:hAnsi="Times New Roman"/>
          <w:sz w:val="24"/>
        </w:rPr>
        <w:t xml:space="preserve"> </w:t>
      </w:r>
      <w:r w:rsidRPr="005749D5">
        <w:rPr>
          <w:rFonts w:ascii="Times New Roman" w:hAnsi="Times New Roman"/>
          <w:sz w:val="24"/>
        </w:rPr>
        <w:t xml:space="preserve">urządzeń, wymienionych w dokumentacji technicznej z zachowaniem </w:t>
      </w:r>
      <w:r w:rsidR="001E3088" w:rsidRPr="005749D5">
        <w:rPr>
          <w:rFonts w:ascii="Times New Roman" w:hAnsi="Times New Roman"/>
          <w:sz w:val="24"/>
        </w:rPr>
        <w:t xml:space="preserve">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 art. 101 ust.1-3 ustawy Pzp, Zamawiający dopuszcza rozwiązania równoważne opisywanym. </w:t>
      </w:r>
    </w:p>
    <w:p w14:paraId="24798E48"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14:paraId="665424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14:paraId="450022D0" w14:textId="20A70FF7" w:rsidR="00F03A83" w:rsidRPr="008630E2" w:rsidRDefault="00B814F5" w:rsidP="00C40972">
      <w:pPr>
        <w:numPr>
          <w:ilvl w:val="0"/>
          <w:numId w:val="3"/>
        </w:numPr>
        <w:spacing w:before="120" w:line="276" w:lineRule="auto"/>
        <w:ind w:left="284" w:hanging="284"/>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 xml:space="preserve">Podzielenie zamówienia na części wiązałoby się większym kosztem </w:t>
      </w:r>
      <w:r w:rsidR="00793A40">
        <w:t>za usługę</w:t>
      </w:r>
      <w:r>
        <w:t>.</w:t>
      </w:r>
    </w:p>
    <w:p w14:paraId="314464CC" w14:textId="77777777" w:rsidR="00F03A83" w:rsidRPr="000F3325" w:rsidRDefault="00F03A83" w:rsidP="00C40972">
      <w:pPr>
        <w:numPr>
          <w:ilvl w:val="0"/>
          <w:numId w:val="3"/>
        </w:numPr>
        <w:spacing w:line="276" w:lineRule="auto"/>
        <w:ind w:left="284" w:hanging="284"/>
        <w:jc w:val="both"/>
      </w:pPr>
      <w:r w:rsidRPr="000F3325">
        <w:t>Zamawiający nie zastrzega możliwości ubiegania się o udzielenie zamówienia wyłącznie przez wykonawców, o których mowa w art. 94 uPzp.</w:t>
      </w:r>
    </w:p>
    <w:p w14:paraId="27DBBAC8" w14:textId="77777777" w:rsidR="00F03A83" w:rsidRPr="000F3325" w:rsidRDefault="00F03A83" w:rsidP="00C40972">
      <w:pPr>
        <w:numPr>
          <w:ilvl w:val="0"/>
          <w:numId w:val="3"/>
        </w:numPr>
        <w:spacing w:line="276" w:lineRule="auto"/>
        <w:ind w:left="284" w:hanging="284"/>
        <w:jc w:val="both"/>
      </w:pPr>
      <w:r w:rsidRPr="000F3325">
        <w:t xml:space="preserve">Zamawiający </w:t>
      </w:r>
      <w:r w:rsidRPr="000C30F7">
        <w:t>nie przewiduje zamówień, o których mowa w art. 214 ust. 1 pkt 7 uPzp</w:t>
      </w:r>
      <w:r w:rsidRPr="000F3325">
        <w:t>.</w:t>
      </w:r>
    </w:p>
    <w:p w14:paraId="339947E0" w14:textId="77777777" w:rsidR="00F03A83" w:rsidRPr="000F3325" w:rsidRDefault="00F03A83" w:rsidP="00C40972">
      <w:pPr>
        <w:numPr>
          <w:ilvl w:val="0"/>
          <w:numId w:val="3"/>
        </w:numPr>
        <w:spacing w:line="276" w:lineRule="auto"/>
        <w:ind w:left="284" w:hanging="284"/>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2 uPzp. Tym samym Zamawiający nie wymaga złożenia oferty po odbyciu wizji lokalnej lub sprawdzeniu tych dokumentów.</w:t>
      </w:r>
    </w:p>
    <w:p w14:paraId="1A671F37" w14:textId="77777777" w:rsidR="00F03A83" w:rsidRPr="000F3325" w:rsidRDefault="00F03A83" w:rsidP="00CE3B62">
      <w:pPr>
        <w:numPr>
          <w:ilvl w:val="0"/>
          <w:numId w:val="3"/>
        </w:numPr>
        <w:spacing w:line="276" w:lineRule="auto"/>
        <w:ind w:left="426" w:hanging="350"/>
        <w:jc w:val="both"/>
      </w:pPr>
      <w:r w:rsidRPr="000F3325">
        <w:lastRenderedPageBreak/>
        <w:t>Zamawiający nie przewiduje zwrotu kosztów udziału w postępowaniu z wyjątkiem sytuacji, o</w:t>
      </w:r>
      <w:r>
        <w:t> </w:t>
      </w:r>
      <w:r w:rsidRPr="000F3325">
        <w:t>której mowa w art. 261 uPzp.</w:t>
      </w:r>
    </w:p>
    <w:p w14:paraId="0125355C"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zastrzega obowiązku osobistego wykonania przez wykonawcę kluczowych zadań, o których mowa w art. 60 uPzp i art. 121 uPzp.</w:t>
      </w:r>
    </w:p>
    <w:p w14:paraId="0B7CBCA1"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14:paraId="4B5D146D"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14:paraId="4CE577D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art. 93 uPzp.</w:t>
      </w:r>
    </w:p>
    <w:p w14:paraId="1A3289C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Zgodnie z art. 310 pkt 1 uPzp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14:paraId="1FDBA27B"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14:paraId="47F51BB4" w14:textId="77777777"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14:paraId="2134AC1F" w14:textId="77777777"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uPzp,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BBF208" w14:textId="77777777"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14:paraId="514115C4" w14:textId="77777777"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14:paraId="48ECD99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14:paraId="41646A72" w14:textId="473DF6FD"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B47EBD">
        <w:rPr>
          <w:b/>
          <w:bCs/>
        </w:rPr>
        <w:t>50</w:t>
      </w:r>
      <w:r w:rsidR="001B46D7">
        <w:rPr>
          <w:b/>
        </w:rPr>
        <w:t xml:space="preserve"> dni</w:t>
      </w:r>
      <w:r w:rsidRPr="0090140C">
        <w:rPr>
          <w:b/>
        </w:rPr>
        <w:t>.</w:t>
      </w:r>
    </w:p>
    <w:p w14:paraId="4454632B" w14:textId="77777777"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14:paraId="746D349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9621262"/>
      <w:bookmarkStart w:id="18" w:name="_Toc360626581"/>
      <w:bookmarkEnd w:id="17"/>
    </w:p>
    <w:p w14:paraId="1C87B27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9621263"/>
      <w:r w:rsidRPr="000F3325">
        <w:t>WARUNKI UDZIAŁU W POSTĘPOWANIU</w:t>
      </w:r>
      <w:bookmarkEnd w:id="18"/>
      <w:bookmarkEnd w:id="19"/>
    </w:p>
    <w:p w14:paraId="1CD653D4" w14:textId="77777777" w:rsidR="00F03A83" w:rsidRPr="000F3325" w:rsidRDefault="00F03A83" w:rsidP="009E59E2">
      <w:pPr>
        <w:pStyle w:val="Teksttreci0"/>
        <w:numPr>
          <w:ilvl w:val="0"/>
          <w:numId w:val="14"/>
        </w:numPr>
        <w:shd w:val="clear" w:color="auto" w:fill="auto"/>
        <w:spacing w:before="120" w:line="276" w:lineRule="auto"/>
        <w:ind w:left="284" w:right="23" w:hanging="284"/>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14:paraId="655AA243" w14:textId="77777777" w:rsidR="001A0954" w:rsidRPr="001A0954" w:rsidRDefault="00F03A83" w:rsidP="009E59E2">
      <w:pPr>
        <w:pStyle w:val="Teksttreci0"/>
        <w:numPr>
          <w:ilvl w:val="0"/>
          <w:numId w:val="14"/>
        </w:numPr>
        <w:shd w:val="clear" w:color="auto" w:fill="auto"/>
        <w:tabs>
          <w:tab w:val="left" w:pos="426"/>
        </w:tabs>
        <w:spacing w:line="276" w:lineRule="auto"/>
        <w:ind w:left="284" w:right="20" w:hanging="284"/>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14:paraId="610FD1A9"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14:paraId="36EB1AC2"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746E6090"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14:paraId="497B5738"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1BCDD032"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14:paraId="41B8C144" w14:textId="246893B0" w:rsidR="00F03A83" w:rsidRDefault="00793A40" w:rsidP="009E59E2">
      <w:pPr>
        <w:pStyle w:val="Teksttreci0"/>
        <w:shd w:val="clear" w:color="auto" w:fill="auto"/>
        <w:spacing w:line="276" w:lineRule="auto"/>
        <w:ind w:left="709" w:right="20" w:firstLine="0"/>
        <w:jc w:val="both"/>
        <w:rPr>
          <w:rFonts w:ascii="Times New Roman" w:hAnsi="Times New Roman" w:cs="Times New Roman"/>
          <w:bCs/>
          <w:sz w:val="24"/>
        </w:rPr>
      </w:pPr>
      <w:r w:rsidRPr="000F3325">
        <w:rPr>
          <w:rFonts w:ascii="Times New Roman" w:hAnsi="Times New Roman" w:cs="Times New Roman"/>
          <w:sz w:val="24"/>
          <w:szCs w:val="24"/>
        </w:rPr>
        <w:t>Zamawiający nie stawia warunku w powyższym zakresie</w:t>
      </w:r>
      <w:r w:rsidR="00E92433" w:rsidRPr="00E92433">
        <w:rPr>
          <w:rFonts w:ascii="Times New Roman" w:hAnsi="Times New Roman" w:cs="Times New Roman"/>
          <w:bCs/>
          <w:sz w:val="24"/>
        </w:rPr>
        <w:t>.</w:t>
      </w:r>
    </w:p>
    <w:p w14:paraId="67DB22E5" w14:textId="77777777" w:rsidR="001A0954" w:rsidRPr="000F3325" w:rsidRDefault="001A0954"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14:paraId="569C5274" w14:textId="2D680FC0" w:rsidR="007B08B2" w:rsidRPr="00C40972" w:rsidRDefault="000A4666" w:rsidP="00793A40">
      <w:pPr>
        <w:pStyle w:val="Akapitzlist"/>
        <w:numPr>
          <w:ilvl w:val="0"/>
          <w:numId w:val="43"/>
        </w:numPr>
        <w:spacing w:before="120" w:after="0"/>
        <w:ind w:left="1135" w:hanging="284"/>
        <w:contextualSpacing w:val="0"/>
        <w:jc w:val="both"/>
        <w:rPr>
          <w:rFonts w:ascii="Times New Roman" w:hAnsi="Times New Roman"/>
          <w:bCs/>
          <w:sz w:val="24"/>
          <w:szCs w:val="24"/>
        </w:rPr>
      </w:pPr>
      <w:r w:rsidRPr="00C40972">
        <w:rPr>
          <w:rFonts w:ascii="Times New Roman" w:hAnsi="Times New Roman"/>
          <w:bCs/>
          <w:sz w:val="24"/>
          <w:szCs w:val="24"/>
        </w:rPr>
        <w:lastRenderedPageBreak/>
        <w:t>Wykonawca spełni warunek jeżeli wykaże, że dysponuje lub będzie dysponować oso</w:t>
      </w:r>
      <w:r w:rsidR="00793A40" w:rsidRPr="00C40972">
        <w:rPr>
          <w:rFonts w:ascii="Times New Roman" w:hAnsi="Times New Roman"/>
          <w:bCs/>
          <w:sz w:val="24"/>
          <w:szCs w:val="24"/>
        </w:rPr>
        <w:t>bą</w:t>
      </w:r>
      <w:r w:rsidR="00C40972">
        <w:rPr>
          <w:rFonts w:ascii="Times New Roman" w:hAnsi="Times New Roman"/>
          <w:bCs/>
          <w:sz w:val="24"/>
          <w:szCs w:val="24"/>
        </w:rPr>
        <w:t>/osobami</w:t>
      </w:r>
      <w:r w:rsidRPr="00C40972">
        <w:rPr>
          <w:rFonts w:ascii="Times New Roman" w:hAnsi="Times New Roman"/>
          <w:bCs/>
          <w:sz w:val="24"/>
          <w:szCs w:val="24"/>
        </w:rPr>
        <w:t>, któr</w:t>
      </w:r>
      <w:r w:rsidR="00C40972">
        <w:rPr>
          <w:rFonts w:ascii="Times New Roman" w:hAnsi="Times New Roman"/>
          <w:bCs/>
          <w:sz w:val="24"/>
          <w:szCs w:val="24"/>
        </w:rPr>
        <w:t>e</w:t>
      </w:r>
      <w:r w:rsidRPr="00C40972">
        <w:rPr>
          <w:rFonts w:ascii="Times New Roman" w:hAnsi="Times New Roman"/>
          <w:bCs/>
          <w:sz w:val="24"/>
          <w:szCs w:val="24"/>
        </w:rPr>
        <w:t xml:space="preserve"> będ</w:t>
      </w:r>
      <w:r w:rsidR="00C40972">
        <w:rPr>
          <w:rFonts w:ascii="Times New Roman" w:hAnsi="Times New Roman"/>
          <w:bCs/>
          <w:sz w:val="24"/>
          <w:szCs w:val="24"/>
        </w:rPr>
        <w:t>ą</w:t>
      </w:r>
      <w:r w:rsidRPr="00C40972">
        <w:rPr>
          <w:rFonts w:ascii="Times New Roman" w:hAnsi="Times New Roman"/>
          <w:bCs/>
          <w:sz w:val="24"/>
          <w:szCs w:val="24"/>
        </w:rPr>
        <w:t xml:space="preserve"> brał</w:t>
      </w:r>
      <w:r w:rsidR="00C40972">
        <w:rPr>
          <w:rFonts w:ascii="Times New Roman" w:hAnsi="Times New Roman"/>
          <w:bCs/>
          <w:sz w:val="24"/>
          <w:szCs w:val="24"/>
        </w:rPr>
        <w:t>y</w:t>
      </w:r>
      <w:r w:rsidRPr="00C40972">
        <w:rPr>
          <w:rFonts w:ascii="Times New Roman" w:hAnsi="Times New Roman"/>
          <w:bCs/>
          <w:sz w:val="24"/>
          <w:szCs w:val="24"/>
        </w:rPr>
        <w:t xml:space="preserve"> udział w realizacji zamówienia</w:t>
      </w:r>
      <w:r w:rsidR="00A412E3" w:rsidRPr="00C40972">
        <w:rPr>
          <w:rFonts w:ascii="Times New Roman" w:hAnsi="Times New Roman"/>
          <w:bCs/>
          <w:sz w:val="24"/>
          <w:szCs w:val="24"/>
        </w:rPr>
        <w:t xml:space="preserve">: projektant </w:t>
      </w:r>
      <w:r w:rsidR="00793A40" w:rsidRPr="00C40972">
        <w:rPr>
          <w:rFonts w:ascii="Times New Roman" w:hAnsi="Times New Roman"/>
          <w:bCs/>
          <w:sz w:val="24"/>
          <w:szCs w:val="24"/>
        </w:rPr>
        <w:t>z</w:t>
      </w:r>
      <w:r w:rsidR="00C40972">
        <w:rPr>
          <w:rFonts w:ascii="Times New Roman" w:hAnsi="Times New Roman"/>
          <w:bCs/>
          <w:sz w:val="24"/>
          <w:szCs w:val="24"/>
        </w:rPr>
        <w:t> </w:t>
      </w:r>
      <w:r w:rsidR="00793A40" w:rsidRPr="00C40972">
        <w:rPr>
          <w:rFonts w:ascii="Times New Roman" w:hAnsi="Times New Roman"/>
          <w:bCs/>
          <w:sz w:val="24"/>
          <w:szCs w:val="24"/>
        </w:rPr>
        <w:t xml:space="preserve">uprawnieniami </w:t>
      </w:r>
      <w:r w:rsidR="00C40972" w:rsidRPr="00C40972">
        <w:rPr>
          <w:rFonts w:ascii="Times New Roman" w:hAnsi="Times New Roman"/>
          <w:bCs/>
          <w:sz w:val="24"/>
          <w:szCs w:val="24"/>
        </w:rPr>
        <w:t xml:space="preserve">konstrukcyjno </w:t>
      </w:r>
      <w:r w:rsidR="00793A40" w:rsidRPr="00C40972">
        <w:rPr>
          <w:rFonts w:ascii="Times New Roman" w:hAnsi="Times New Roman"/>
          <w:bCs/>
          <w:sz w:val="24"/>
          <w:szCs w:val="24"/>
        </w:rPr>
        <w:t>– budowlanymi</w:t>
      </w:r>
      <w:r w:rsidR="00C40972">
        <w:rPr>
          <w:rFonts w:ascii="Times New Roman" w:hAnsi="Times New Roman"/>
          <w:bCs/>
          <w:sz w:val="24"/>
          <w:szCs w:val="24"/>
        </w:rPr>
        <w:t>, architektonicznymi, instalacyjnej w zakresie sieci, instalacji i urządzeń elektrycznych i elektroenergetycznych. Zamawiający dopuszcza łączenie uprawnień przez jedną osobę.</w:t>
      </w:r>
    </w:p>
    <w:p w14:paraId="32EE2BC7" w14:textId="1B3037E8" w:rsidR="00A412E3" w:rsidRDefault="00C40972" w:rsidP="00A412E3">
      <w:pPr>
        <w:pStyle w:val="Akapitzlist"/>
        <w:spacing w:before="120" w:after="0"/>
        <w:ind w:left="1135"/>
        <w:contextualSpacing w:val="0"/>
        <w:jc w:val="both"/>
        <w:rPr>
          <w:rFonts w:ascii="Times New Roman" w:hAnsi="Times New Roman"/>
          <w:sz w:val="24"/>
          <w:szCs w:val="24"/>
        </w:rPr>
      </w:pPr>
      <w:r>
        <w:rPr>
          <w:rFonts w:ascii="Times New Roman" w:hAnsi="Times New Roman"/>
          <w:bCs/>
          <w:sz w:val="24"/>
          <w:szCs w:val="24"/>
        </w:rPr>
        <w:t>Uprawnienia muszą być zgodne</w:t>
      </w:r>
      <w:r w:rsidR="00A412E3" w:rsidRPr="00C40972">
        <w:rPr>
          <w:rFonts w:ascii="Times New Roman" w:hAnsi="Times New Roman"/>
          <w:sz w:val="24"/>
          <w:szCs w:val="24"/>
        </w:rPr>
        <w:t xml:space="preserve"> z Rozporządzeniem Ministra Infrastruktury i</w:t>
      </w:r>
      <w:r>
        <w:rPr>
          <w:rFonts w:ascii="Times New Roman" w:hAnsi="Times New Roman"/>
          <w:sz w:val="24"/>
          <w:szCs w:val="24"/>
        </w:rPr>
        <w:t xml:space="preserve"> </w:t>
      </w:r>
      <w:r w:rsidR="00A412E3" w:rsidRPr="00C40972">
        <w:rPr>
          <w:rFonts w:ascii="Times New Roman" w:hAnsi="Times New Roman"/>
          <w:sz w:val="24"/>
          <w:szCs w:val="24"/>
        </w:rPr>
        <w:t>Rozwoju z</w:t>
      </w:r>
      <w:r>
        <w:rPr>
          <w:rFonts w:ascii="Times New Roman" w:hAnsi="Times New Roman"/>
          <w:sz w:val="24"/>
          <w:szCs w:val="24"/>
        </w:rPr>
        <w:t> </w:t>
      </w:r>
      <w:r w:rsidR="00A412E3" w:rsidRPr="00C40972">
        <w:rPr>
          <w:rFonts w:ascii="Times New Roman" w:hAnsi="Times New Roman"/>
          <w:sz w:val="24"/>
          <w:szCs w:val="24"/>
        </w:rPr>
        <w:t>dnia 11 września 2014 r. w sprawie samodzielnych funkcji technicznych w budownictwie (Dz. U. z 2014 r., poz. 1278) wraz rozporządzeniami wykonawczymi; w tym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 – dalej „ustawa o uznawaniu kwalifikacji”).</w:t>
      </w:r>
    </w:p>
    <w:p w14:paraId="7FCAC8AE" w14:textId="07294AC2" w:rsidR="00FF7D9B" w:rsidRPr="00BA197C" w:rsidRDefault="00FF7D9B" w:rsidP="005A1DF4">
      <w:pPr>
        <w:pStyle w:val="Akapitzlist"/>
        <w:numPr>
          <w:ilvl w:val="0"/>
          <w:numId w:val="49"/>
        </w:numPr>
        <w:spacing w:before="120" w:after="120"/>
        <w:ind w:left="1135" w:hanging="284"/>
        <w:contextualSpacing w:val="0"/>
        <w:jc w:val="both"/>
        <w:rPr>
          <w:rFonts w:ascii="Times New Roman" w:hAnsi="Times New Roman"/>
          <w:bCs/>
          <w:sz w:val="24"/>
          <w:szCs w:val="24"/>
        </w:rPr>
      </w:pPr>
      <w:r w:rsidRPr="00BA197C">
        <w:rPr>
          <w:rFonts w:ascii="Times New Roman" w:hAnsi="Times New Roman"/>
          <w:sz w:val="24"/>
          <w:szCs w:val="24"/>
        </w:rPr>
        <w:t>Zamawiający określa następujący warunek dotyczący doświadczenia zawodowego wykonawcy: zamawiający uzna warunek za spełniony, jeżeli Wykonawca wykaże, że w okresie ostatnich 3 (trzech) lat przed upływem terminu składania ofert, a jeżeli okres prowadzenia działalności jest krótszy - w tym okresie - wykonał należycie, a w przypadku świadczeń okresowych lub ciągłych również wykonuje należycie, co najmniej dwa projekty tężni solankowej zgodnie z opisem przedmiotu zamówienia o</w:t>
      </w:r>
      <w:r w:rsidR="005A1DF4">
        <w:rPr>
          <w:rFonts w:ascii="Times New Roman" w:hAnsi="Times New Roman"/>
          <w:sz w:val="24"/>
          <w:szCs w:val="24"/>
        </w:rPr>
        <w:t xml:space="preserve"> </w:t>
      </w:r>
      <w:r w:rsidRPr="00BA197C">
        <w:rPr>
          <w:rFonts w:ascii="Times New Roman" w:hAnsi="Times New Roman"/>
          <w:sz w:val="24"/>
          <w:szCs w:val="24"/>
        </w:rPr>
        <w:t xml:space="preserve">wartości </w:t>
      </w:r>
      <w:r w:rsidR="00BA197C" w:rsidRPr="00BA197C">
        <w:rPr>
          <w:rFonts w:ascii="Times New Roman" w:hAnsi="Times New Roman"/>
          <w:sz w:val="24"/>
          <w:szCs w:val="24"/>
        </w:rPr>
        <w:t xml:space="preserve">kosztorysowej robót objętych dokumentacją </w:t>
      </w:r>
      <w:r w:rsidRPr="00BA197C">
        <w:rPr>
          <w:rFonts w:ascii="Times New Roman" w:hAnsi="Times New Roman"/>
          <w:sz w:val="24"/>
          <w:szCs w:val="24"/>
        </w:rPr>
        <w:t xml:space="preserve">nie mniejszej niż </w:t>
      </w:r>
      <w:r w:rsidR="00BA197C" w:rsidRPr="00BA197C">
        <w:rPr>
          <w:rFonts w:ascii="Times New Roman" w:hAnsi="Times New Roman"/>
          <w:sz w:val="24"/>
          <w:szCs w:val="24"/>
        </w:rPr>
        <w:t>5</w:t>
      </w:r>
      <w:r w:rsidRPr="00BA197C">
        <w:rPr>
          <w:rFonts w:ascii="Times New Roman" w:hAnsi="Times New Roman"/>
          <w:sz w:val="24"/>
          <w:szCs w:val="24"/>
        </w:rPr>
        <w:t xml:space="preserve">0 000,00 zł brutto (słownie: </w:t>
      </w:r>
      <w:r w:rsidR="00BA197C" w:rsidRPr="00BA197C">
        <w:rPr>
          <w:rFonts w:ascii="Times New Roman" w:hAnsi="Times New Roman"/>
          <w:sz w:val="24"/>
          <w:szCs w:val="24"/>
        </w:rPr>
        <w:t>pięćdziesiąt</w:t>
      </w:r>
      <w:r w:rsidRPr="00BA197C">
        <w:rPr>
          <w:rFonts w:ascii="Times New Roman" w:hAnsi="Times New Roman"/>
          <w:sz w:val="24"/>
          <w:szCs w:val="24"/>
        </w:rPr>
        <w:t xml:space="preserve"> tysięcy złotych 00/100). </w:t>
      </w:r>
    </w:p>
    <w:p w14:paraId="50BD0DE4" w14:textId="2D17C05D" w:rsidR="00FF7D9B" w:rsidRPr="00FF7D9B" w:rsidRDefault="00FF7D9B" w:rsidP="00FF7D9B">
      <w:pPr>
        <w:spacing w:before="120"/>
        <w:ind w:left="1134" w:firstLine="1"/>
        <w:jc w:val="both"/>
        <w:rPr>
          <w:bCs/>
        </w:rPr>
      </w:pPr>
      <w:r w:rsidRPr="00FF7D9B">
        <w:t xml:space="preserve">Przez jedną </w:t>
      </w:r>
      <w:r>
        <w:t>usługę</w:t>
      </w:r>
      <w:r w:rsidRPr="00FF7D9B">
        <w:t xml:space="preserve"> Zamawiający rozumie</w:t>
      </w:r>
      <w:r>
        <w:t xml:space="preserve"> usługę</w:t>
      </w:r>
      <w:r w:rsidRPr="00FF7D9B">
        <w:t xml:space="preserve"> wykonaną w ramach jednej umowy/zamówienia.</w:t>
      </w:r>
    </w:p>
    <w:p w14:paraId="636F2CBE" w14:textId="77777777" w:rsidR="00F03A83" w:rsidRPr="000F3325" w:rsidRDefault="00F03A83" w:rsidP="00CE3B62">
      <w:pPr>
        <w:tabs>
          <w:tab w:val="left" w:pos="426"/>
        </w:tabs>
        <w:spacing w:line="276" w:lineRule="auto"/>
        <w:ind w:left="-22"/>
        <w:jc w:val="both"/>
        <w:rPr>
          <w:bCs/>
          <w:sz w:val="12"/>
          <w:szCs w:val="12"/>
        </w:rPr>
      </w:pPr>
    </w:p>
    <w:p w14:paraId="3B145B4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9621264"/>
      <w:bookmarkEnd w:id="25"/>
    </w:p>
    <w:p w14:paraId="16FF707E"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9621265"/>
      <w:r w:rsidRPr="000F3325">
        <w:t>PODSTAWY WYKLUCZENIA</w:t>
      </w:r>
      <w:bookmarkEnd w:id="26"/>
    </w:p>
    <w:p w14:paraId="608B4B3E" w14:textId="77777777"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14:paraId="5AD26F93" w14:textId="77777777"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w art. 108 ust. 1 uPzp;</w:t>
      </w:r>
    </w:p>
    <w:p w14:paraId="560F4360" w14:textId="77777777"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98A613" w14:textId="77777777"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14:paraId="5527E577" w14:textId="77777777"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uPzp. </w:t>
      </w:r>
    </w:p>
    <w:p w14:paraId="769AF9C4"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9621266"/>
      <w:bookmarkEnd w:id="27"/>
    </w:p>
    <w:p w14:paraId="326CD7D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9621267"/>
      <w:r w:rsidRPr="000F3325">
        <w:t>Oświadczenia i dokumenty, jakie zobowiązani są dostarczyć Wykonawcy w celu potwierdzenia spełniania warunków udziału w postępowaniu oraz wykazania braku podstaw wykluczenia (PODMIOTOWE ŚRODKI DOWODOWE)</w:t>
      </w:r>
      <w:bookmarkEnd w:id="28"/>
    </w:p>
    <w:p w14:paraId="14A1A595" w14:textId="77777777" w:rsidR="00F03A83" w:rsidRPr="000F3325" w:rsidRDefault="00F03A83" w:rsidP="005D29A7">
      <w:pPr>
        <w:pStyle w:val="Akapitzlist"/>
        <w:numPr>
          <w:ilvl w:val="0"/>
          <w:numId w:val="16"/>
        </w:numPr>
        <w:spacing w:before="120" w:after="0"/>
        <w:ind w:left="284" w:hanging="284"/>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Pr="001A0954">
        <w:rPr>
          <w:rFonts w:ascii="Times New Roman" w:hAnsi="Times New Roman"/>
          <w:i/>
          <w:sz w:val="24"/>
          <w:szCs w:val="24"/>
        </w:rPr>
        <w:t>;</w:t>
      </w:r>
    </w:p>
    <w:p w14:paraId="185A0160" w14:textId="77777777"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14:paraId="4FF374D9" w14:textId="50017AF8"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w:t>
      </w:r>
      <w:r w:rsidR="00A3626B">
        <w:rPr>
          <w:rFonts w:ascii="Times New Roman" w:hAnsi="Times New Roman"/>
          <w:sz w:val="24"/>
          <w:szCs w:val="24"/>
        </w:rPr>
        <w:t xml:space="preserve"> </w:t>
      </w:r>
      <w:r w:rsidRPr="000F3325">
        <w:rPr>
          <w:rFonts w:ascii="Times New Roman" w:hAnsi="Times New Roman"/>
          <w:sz w:val="24"/>
          <w:szCs w:val="24"/>
        </w:rPr>
        <w:t>ogłoszeniu o zamówieniu lub dokumentach zamówienia, aktualnych na dzień złożenia podmiotowych środków dowodowych.</w:t>
      </w:r>
    </w:p>
    <w:p w14:paraId="49D692C8" w14:textId="77777777" w:rsidR="00F03A83"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14:paraId="47C9D65A" w14:textId="77777777" w:rsidR="00F03A83" w:rsidRDefault="00F03A83" w:rsidP="00A3626B">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uPzp,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14:paraId="2531106A" w14:textId="77777777"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uPzp,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14:paraId="23D0BD6A" w14:textId="3DA34411" w:rsidR="00A3626B" w:rsidRDefault="00A3626B" w:rsidP="004F2AC5">
      <w:pPr>
        <w:pStyle w:val="Akapitzlist"/>
        <w:numPr>
          <w:ilvl w:val="1"/>
          <w:numId w:val="16"/>
        </w:numPr>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971A9E">
        <w:rPr>
          <w:rFonts w:ascii="Times New Roman" w:hAnsi="Times New Roman"/>
          <w:sz w:val="24"/>
          <w:szCs w:val="24"/>
        </w:rPr>
        <w:t xml:space="preserve"> (załącznik nr </w:t>
      </w:r>
      <w:r w:rsidR="0070488F">
        <w:rPr>
          <w:rFonts w:ascii="Times New Roman" w:hAnsi="Times New Roman"/>
          <w:sz w:val="24"/>
          <w:szCs w:val="24"/>
        </w:rPr>
        <w:t>6</w:t>
      </w:r>
      <w:r w:rsidR="00971A9E">
        <w:rPr>
          <w:rFonts w:ascii="Times New Roman" w:hAnsi="Times New Roman"/>
          <w:sz w:val="24"/>
          <w:szCs w:val="24"/>
        </w:rPr>
        <w:t>)</w:t>
      </w:r>
      <w:r w:rsidRPr="00640879">
        <w:rPr>
          <w:rFonts w:ascii="Times New Roman" w:hAnsi="Times New Roman"/>
          <w:sz w:val="24"/>
          <w:szCs w:val="24"/>
        </w:rPr>
        <w:t>;</w:t>
      </w:r>
    </w:p>
    <w:p w14:paraId="22CE79AD" w14:textId="38725708" w:rsidR="00D615B5" w:rsidRPr="004F2AC5" w:rsidRDefault="00D615B5" w:rsidP="004F2AC5">
      <w:pPr>
        <w:pStyle w:val="Akapitzlist"/>
        <w:numPr>
          <w:ilvl w:val="1"/>
          <w:numId w:val="16"/>
        </w:numPr>
        <w:jc w:val="both"/>
        <w:rPr>
          <w:rFonts w:ascii="Times New Roman" w:hAnsi="Times New Roman"/>
          <w:sz w:val="24"/>
          <w:szCs w:val="24"/>
        </w:rPr>
      </w:pPr>
      <w:r w:rsidRPr="00D062A4">
        <w:rPr>
          <w:rFonts w:ascii="Times New Roman" w:hAnsi="Times New Roman"/>
          <w:b/>
          <w:sz w:val="24"/>
          <w:szCs w:val="24"/>
        </w:rPr>
        <w:t xml:space="preserve">wykaz </w:t>
      </w:r>
      <w:r>
        <w:rPr>
          <w:rFonts w:ascii="Times New Roman" w:hAnsi="Times New Roman"/>
          <w:b/>
          <w:sz w:val="24"/>
          <w:szCs w:val="24"/>
        </w:rPr>
        <w:t>usług</w:t>
      </w:r>
      <w:r w:rsidRPr="00B155C0">
        <w:rPr>
          <w:rFonts w:ascii="Times New Roman" w:hAnsi="Times New Roman"/>
          <w:sz w:val="24"/>
          <w:szCs w:val="24"/>
        </w:rPr>
        <w:t xml:space="preserve"> w okresie ostatnich trzech lat przed upływem terminu składania ofert, a jeżeli okres prowadzenia działalności jest krótszy – w</w:t>
      </w:r>
      <w:r>
        <w:rPr>
          <w:rFonts w:ascii="Times New Roman" w:hAnsi="Times New Roman"/>
          <w:sz w:val="24"/>
          <w:szCs w:val="24"/>
        </w:rPr>
        <w:t> </w:t>
      </w:r>
      <w:r w:rsidRPr="00B155C0">
        <w:rPr>
          <w:rFonts w:ascii="Times New Roman" w:hAnsi="Times New Roman"/>
          <w:sz w:val="24"/>
          <w:szCs w:val="24"/>
        </w:rPr>
        <w:t>tym okresie, wraz z podaniem ich rodzaju, wartości, daty, miejsca wykonania i</w:t>
      </w:r>
      <w:r>
        <w:rPr>
          <w:rFonts w:ascii="Times New Roman" w:hAnsi="Times New Roman"/>
          <w:sz w:val="24"/>
          <w:szCs w:val="24"/>
        </w:rPr>
        <w:t> </w:t>
      </w:r>
      <w:r w:rsidRPr="00B155C0">
        <w:rPr>
          <w:rFonts w:ascii="Times New Roman" w:hAnsi="Times New Roman"/>
          <w:sz w:val="24"/>
          <w:szCs w:val="24"/>
        </w:rPr>
        <w:t xml:space="preserve">podmiotów, na rzecz których </w:t>
      </w:r>
      <w:r>
        <w:rPr>
          <w:rFonts w:ascii="Times New Roman" w:hAnsi="Times New Roman"/>
          <w:sz w:val="24"/>
          <w:szCs w:val="24"/>
        </w:rPr>
        <w:t>usługi</w:t>
      </w:r>
      <w:r w:rsidRPr="00B155C0">
        <w:rPr>
          <w:rFonts w:ascii="Times New Roman" w:hAnsi="Times New Roman"/>
          <w:sz w:val="24"/>
          <w:szCs w:val="24"/>
        </w:rPr>
        <w:t xml:space="preserve"> te zostały wykonane, z</w:t>
      </w:r>
      <w:r>
        <w:rPr>
          <w:rFonts w:ascii="Times New Roman" w:hAnsi="Times New Roman"/>
          <w:sz w:val="24"/>
          <w:szCs w:val="24"/>
        </w:rPr>
        <w:t> </w:t>
      </w:r>
      <w:r w:rsidRPr="00B155C0">
        <w:rPr>
          <w:rFonts w:ascii="Times New Roman" w:hAnsi="Times New Roman"/>
          <w:sz w:val="24"/>
          <w:szCs w:val="24"/>
        </w:rPr>
        <w:t>załączeniem dowodów określających, czy dostawy te zostały wykonane należycie</w:t>
      </w:r>
      <w:r w:rsidR="00245281">
        <w:rPr>
          <w:rFonts w:ascii="Times New Roman" w:hAnsi="Times New Roman"/>
          <w:sz w:val="24"/>
          <w:szCs w:val="24"/>
        </w:rPr>
        <w:t xml:space="preserve"> (załącznik nr 7)</w:t>
      </w:r>
      <w:r>
        <w:rPr>
          <w:rFonts w:ascii="Times New Roman" w:hAnsi="Times New Roman"/>
          <w:sz w:val="24"/>
          <w:szCs w:val="24"/>
        </w:rPr>
        <w:t>.</w:t>
      </w:r>
    </w:p>
    <w:p w14:paraId="0BB36F21" w14:textId="77777777"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7DBAEC3F" w14:textId="77777777"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lastRenderedPageBreak/>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70633FC" w14:textId="77777777"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14:paraId="14051135" w14:textId="77777777"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oświadczeniu, o którym mowa w art. 125 ust. 1 uPzp dane umożliwiające dostęp do tych środków;</w:t>
      </w:r>
    </w:p>
    <w:p w14:paraId="2171DCBF" w14:textId="77777777"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14:paraId="282E5199" w14:textId="77777777"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14:paraId="13FD15A1" w14:textId="77777777"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uPzp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14:paraId="6F337A0E"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9621268"/>
      <w:bookmarkEnd w:id="29"/>
    </w:p>
    <w:p w14:paraId="24DE709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9621269"/>
      <w:r w:rsidRPr="000F3325">
        <w:t>POLEGANIE NA ZASOBACH INNYCH PODMIOTÓW</w:t>
      </w:r>
      <w:bookmarkEnd w:id="30"/>
    </w:p>
    <w:p w14:paraId="0492DE87" w14:textId="77777777"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14:paraId="116F89F5" w14:textId="77777777"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14:paraId="7F0C3638" w14:textId="77777777"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14:paraId="128907B8" w14:textId="77777777"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14:paraId="2DF9DD9C" w14:textId="77777777"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14:paraId="65B77340" w14:textId="77777777" w:rsidR="00F03A83" w:rsidRPr="000F3325" w:rsidRDefault="00F03A83" w:rsidP="00CE3B62">
      <w:pPr>
        <w:numPr>
          <w:ilvl w:val="1"/>
          <w:numId w:val="9"/>
        </w:numPr>
        <w:spacing w:line="276" w:lineRule="auto"/>
        <w:ind w:left="709" w:hanging="425"/>
        <w:jc w:val="both"/>
      </w:pPr>
      <w:r w:rsidRPr="000F3325">
        <w:t xml:space="preserve">czy i w jakim zakresie podmiot udostępniający zasoby, na zdolnościach którego wykonawca polega w odniesieniu do warunków udziału w postępowaniu dotyczących wykształcenia, </w:t>
      </w:r>
      <w:r w:rsidRPr="000F3325">
        <w:lastRenderedPageBreak/>
        <w:t>kwalifikacji zawodowych lub doświadczenia, zrealizuje roboty budowlane lub usługi, których wskazane zdolności dotyczą.</w:t>
      </w:r>
    </w:p>
    <w:p w14:paraId="49CD4653" w14:textId="77777777"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0FC374" w14:textId="77777777"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14:paraId="6ECA2928" w14:textId="77777777"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99D293" w14:textId="77777777"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14:paraId="14303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9621270"/>
      <w:bookmarkEnd w:id="31"/>
    </w:p>
    <w:p w14:paraId="18172E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9621271"/>
      <w:r w:rsidRPr="000F3325">
        <w:t>OFERTA WSPÓLNA</w:t>
      </w:r>
      <w:bookmarkEnd w:id="20"/>
      <w:bookmarkEnd w:id="21"/>
      <w:bookmarkEnd w:id="22"/>
      <w:bookmarkEnd w:id="23"/>
      <w:bookmarkEnd w:id="32"/>
    </w:p>
    <w:p w14:paraId="4C56A39F" w14:textId="77777777"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14:paraId="32CFD817"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14:paraId="6AA1AF36"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14:paraId="57CBA80C" w14:textId="77777777"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14:paraId="3AFAB0B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9621272"/>
      <w:bookmarkEnd w:id="33"/>
    </w:p>
    <w:p w14:paraId="3E5B67CD"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9621273"/>
      <w:r w:rsidRPr="000F3325">
        <w:t>INFORMACJE O ŚRODKACH KOMUNIKACJI ELEKTRONICZNEJ, przy użyciu których Zamawiający będzie komunikował się z Wykonawcami, oraz informacje o</w:t>
      </w:r>
      <w:r w:rsidR="00085DC2">
        <w:t> </w:t>
      </w:r>
      <w:r w:rsidRPr="000F3325">
        <w:t>wymaganiach technicznych i organizacyjnych sporządzania, wysyłania i odbierania korespondencji elektronicznej</w:t>
      </w:r>
      <w:bookmarkStart w:id="35" w:name="_Toc321297762"/>
      <w:bookmarkStart w:id="36" w:name="_Toc360626584"/>
      <w:bookmarkEnd w:id="34"/>
    </w:p>
    <w:p w14:paraId="53AA0A33" w14:textId="77777777"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uPzp, </w:t>
      </w:r>
      <w:r w:rsidRPr="000F3325">
        <w:rPr>
          <w:b/>
        </w:rPr>
        <w:t>odbywa się przy użyciu środków komunikacji elektronicznej</w:t>
      </w:r>
      <w:r w:rsidRPr="000F3325">
        <w:t>, tj.:</w:t>
      </w:r>
    </w:p>
    <w:p w14:paraId="3D56217E" w14:textId="77777777" w:rsidR="00F03A83" w:rsidRPr="000F3325" w:rsidRDefault="00F03A83" w:rsidP="00CE3B62">
      <w:pPr>
        <w:numPr>
          <w:ilvl w:val="1"/>
          <w:numId w:val="6"/>
        </w:numPr>
        <w:spacing w:line="276" w:lineRule="auto"/>
        <w:ind w:left="709" w:hanging="425"/>
        <w:jc w:val="both"/>
      </w:pPr>
      <w:r w:rsidRPr="000F3325">
        <w:rPr>
          <w:snapToGrid w:val="0"/>
        </w:rPr>
        <w:lastRenderedPageBreak/>
        <w:t xml:space="preserve"> na elektronicznej Platformie Zakupowej pod adresem </w:t>
      </w:r>
      <w:hyperlink r:id="rId10"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14:paraId="2C4FA5E2" w14:textId="77777777"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1"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14:paraId="069B910B" w14:textId="77777777"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14:paraId="1918007B" w14:textId="77777777"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14:paraId="48D72BFA" w14:textId="77777777"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(eIDAS) (UE) nr 910/2014 - od 1 lipca 2016 roku”</w:t>
      </w:r>
    </w:p>
    <w:p w14:paraId="01BEDFA1" w14:textId="77777777"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W przypadku wykorzystania formatu podpisu XAdES zewnętrzny. Zamawiający wymaga dołączenia odpowiedniej ilości plików tj. podpisywanych plików z danymi oraz plików podpisu w formacie XAdES.</w:t>
      </w:r>
    </w:p>
    <w:p w14:paraId="1295D3BF" w14:textId="77777777"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14:paraId="18E8F8F8" w14:textId="77777777"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2" w:history="1">
        <w:r w:rsidRPr="00B76818">
          <w:rPr>
            <w:rStyle w:val="Hipercze"/>
            <w:color w:val="1155CC"/>
            <w:sz w:val="24"/>
            <w:szCs w:val="24"/>
          </w:rPr>
          <w:t>platformazakupowa.pl</w:t>
        </w:r>
      </w:hyperlink>
      <w:r w:rsidRPr="00B76818">
        <w:rPr>
          <w:color w:val="000000"/>
          <w:sz w:val="24"/>
          <w:szCs w:val="24"/>
        </w:rPr>
        <w:t>, tj.:</w:t>
      </w:r>
    </w:p>
    <w:p w14:paraId="3CA3FD83"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stały dostęp do sieci Internet o gwarantowanej przepustowości nie mniejszej niż 512 kb/s,</w:t>
      </w:r>
    </w:p>
    <w:p w14:paraId="7A416600"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9F2FEEB"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14:paraId="3A2A4D05"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14:paraId="03D995E2"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zainstalowany program Adobe Acrobat Reader lub inny obsługujący format plików .pdf,</w:t>
      </w:r>
    </w:p>
    <w:p w14:paraId="4D57A32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14:paraId="361A841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(hh:mm:ss) generowany wg. czasu lokalnego serwera synchronizowanego z zegarem Głównego Urzędu Miar.</w:t>
      </w:r>
    </w:p>
    <w:p w14:paraId="3249D19A" w14:textId="77777777"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lastRenderedPageBreak/>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14:paraId="54FACEB8"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 xml:space="preserve">Zamawiający rekomenduje wykorzystanie formatów: .pdf .doc .xls .jpg (.jpeg) </w:t>
      </w:r>
      <w:r w:rsidRPr="00B76818">
        <w:rPr>
          <w:rFonts w:ascii="Times New Roman" w:hAnsi="Times New Roman" w:cs="Times New Roman"/>
          <w:b/>
          <w:bCs/>
        </w:rPr>
        <w:t>ze szczególnym wskazaniem na .pdf</w:t>
      </w:r>
    </w:p>
    <w:p w14:paraId="34D95784"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14:paraId="10FF214C" w14:textId="77777777"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14:paraId="26AD18E2" w14:textId="77777777"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14:paraId="59A05963" w14:textId="77777777"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.rar .gif .bmp .numbers .pages. </w:t>
      </w:r>
      <w:r w:rsidRPr="00B76818">
        <w:rPr>
          <w:rFonts w:ascii="Times New Roman" w:hAnsi="Times New Roman"/>
          <w:b/>
          <w:bCs/>
          <w:color w:val="000000"/>
          <w:sz w:val="24"/>
          <w:szCs w:val="24"/>
        </w:rPr>
        <w:t>Dokumenty złożone w takich plikach zostaną uznane za złożone nieskutecznie.</w:t>
      </w:r>
    </w:p>
    <w:p w14:paraId="77920926" w14:textId="77777777"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r>
        <w:rPr>
          <w:rFonts w:ascii="Times New Roman" w:hAnsi="Times New Roman"/>
          <w:color w:val="000000"/>
          <w:sz w:val="24"/>
          <w:szCs w:val="24"/>
        </w:rPr>
        <w:t xml:space="preserve"> </w:t>
      </w:r>
    </w:p>
    <w:p w14:paraId="3875DD02" w14:textId="77777777"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uPzp,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14:paraId="1CAC6647" w14:textId="77777777"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14:paraId="1CDC6F63" w14:textId="77777777" w:rsidR="00F03A83" w:rsidRPr="000F3325" w:rsidRDefault="00F03A83" w:rsidP="00CE3B62">
      <w:pPr>
        <w:numPr>
          <w:ilvl w:val="0"/>
          <w:numId w:val="6"/>
        </w:numPr>
        <w:tabs>
          <w:tab w:val="left" w:pos="426"/>
        </w:tabs>
        <w:spacing w:line="276" w:lineRule="auto"/>
        <w:ind w:left="426" w:hanging="284"/>
        <w:jc w:val="both"/>
      </w:pPr>
      <w:r w:rsidRPr="000F3325">
        <w:t>Zamawiający informuje, że zgodnie z art. 284 ust. 6 uPzp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14:paraId="4FA9E847" w14:textId="77777777"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14:paraId="4440D84A"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9621274"/>
      <w:bookmarkStart w:id="38" w:name="_Toc321297764"/>
      <w:bookmarkStart w:id="39" w:name="_Toc360626586"/>
      <w:bookmarkEnd w:id="37"/>
    </w:p>
    <w:p w14:paraId="06B66953"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9621275"/>
      <w:r w:rsidRPr="000F3325">
        <w:t>OPIS SPOSOBU PRZYGOTOWANIA OFERTY</w:t>
      </w:r>
      <w:bookmarkEnd w:id="38"/>
      <w:bookmarkEnd w:id="39"/>
      <w:bookmarkEnd w:id="40"/>
    </w:p>
    <w:p w14:paraId="1EF351D9" w14:textId="77777777"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14:paraId="7797AA40" w14:textId="77777777"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r w:rsidRPr="000F3325">
        <w:t>uPzp;</w:t>
      </w:r>
    </w:p>
    <w:p w14:paraId="106B50D7" w14:textId="77777777"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14:paraId="0008F7B0" w14:textId="77777777"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14:paraId="7312DB86" w14:textId="77777777"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 xml:space="preserve">Ofertę, oświadczenia, o których mowa w art. 125 ust. 1 uPzp, podmiotowe środki dowodowe, pełnomocnictwa, zobowiązanie podmiotu udostępniającego zasoby sporządza się w postaci </w:t>
      </w:r>
      <w:r w:rsidRPr="000F3325">
        <w:rPr>
          <w:rFonts w:ascii="Times New Roman" w:hAnsi="Times New Roman"/>
          <w:b/>
          <w:sz w:val="24"/>
          <w:szCs w:val="24"/>
        </w:rPr>
        <w:lastRenderedPageBreak/>
        <w:t>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 xml:space="preserve">formatach .txt, .rtf, .pdf, .doc, .docx, .odt. </w:t>
      </w:r>
    </w:p>
    <w:p w14:paraId="357C938D"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uPzp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14:paraId="073550A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uPzp.</w:t>
      </w:r>
    </w:p>
    <w:p w14:paraId="2364EF7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uPzp,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14:paraId="724464C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14:paraId="44DBF6D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których mowa w art. 222 ust. 5 uPzp.</w:t>
      </w:r>
    </w:p>
    <w:p w14:paraId="459AA027"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14:paraId="57FEDB86"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14:paraId="673877F9"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14:paraId="7C5F728E"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Oferta powinna być podpisana przez osobę upoważnioną do reprezentowania Wykonawcy, zgodnie z formą reprezentacji Wykonawcy określoną w rejestrze lub innym dokumencie, </w:t>
      </w:r>
      <w:r w:rsidRPr="000F3325">
        <w:rPr>
          <w:rFonts w:ascii="Times New Roman" w:hAnsi="Times New Roman"/>
          <w:sz w:val="24"/>
          <w:szCs w:val="24"/>
        </w:rPr>
        <w:lastRenderedPageBreak/>
        <w:t>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4BAAF63" w14:textId="77777777"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14:paraId="38E76845"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14:paraId="2097E9EC" w14:textId="77777777" w:rsidR="00F03A83" w:rsidRPr="000F3325" w:rsidRDefault="00F03A83" w:rsidP="00CE3B62">
      <w:pPr>
        <w:pStyle w:val="Akapitzlist"/>
        <w:ind w:left="284"/>
        <w:jc w:val="both"/>
        <w:rPr>
          <w:rFonts w:ascii="Times New Roman" w:hAnsi="Times New Roman"/>
          <w:sz w:val="24"/>
          <w:szCs w:val="24"/>
        </w:rPr>
      </w:pPr>
    </w:p>
    <w:p w14:paraId="7EF5C7D1" w14:textId="77777777"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14:paraId="35FF88E6" w14:textId="77777777"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14:paraId="2733AFA8" w14:textId="77777777" w:rsidR="0022589D" w:rsidRPr="006A1C1F" w:rsidRDefault="0022589D" w:rsidP="00CE3B62">
      <w:pPr>
        <w:spacing w:line="276" w:lineRule="auto"/>
        <w:jc w:val="both"/>
      </w:pPr>
    </w:p>
    <w:p w14:paraId="04E67A2E" w14:textId="77777777"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14:paraId="5D74C6F5" w14:textId="16CC7710" w:rsidR="00F37C78" w:rsidRPr="007B08B2" w:rsidRDefault="00F03A83" w:rsidP="00A3626B">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14:paraId="60850836" w14:textId="77777777"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14:paraId="6A98EF2F" w14:textId="77777777"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14:paraId="081CC9AD"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14:paraId="53719F07"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14:paraId="48EEBDB0" w14:textId="77777777"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14:paraId="09EFE33B"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39621276"/>
      <w:bookmarkStart w:id="43" w:name="_Toc108487440"/>
      <w:bookmarkStart w:id="44" w:name="_Toc321297766"/>
      <w:bookmarkStart w:id="45" w:name="_Toc360626588"/>
      <w:bookmarkEnd w:id="16"/>
      <w:bookmarkEnd w:id="42"/>
    </w:p>
    <w:p w14:paraId="52ECFD3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6" w:name="_Toc139621277"/>
      <w:r w:rsidRPr="000F3325">
        <w:t>OPIS SPOSOBU OBLICZENIA CENY</w:t>
      </w:r>
      <w:bookmarkEnd w:id="43"/>
      <w:bookmarkEnd w:id="44"/>
      <w:bookmarkEnd w:id="45"/>
      <w:bookmarkEnd w:id="46"/>
    </w:p>
    <w:p w14:paraId="68BA0176"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7B08B2">
        <w:rPr>
          <w:rFonts w:ascii="Times New Roman" w:hAnsi="Times New Roman"/>
          <w:bCs/>
          <w:iCs/>
          <w:sz w:val="24"/>
          <w:szCs w:val="24"/>
        </w:rPr>
        <w:t>z</w:t>
      </w:r>
      <w:r w:rsidRPr="007B08B2">
        <w:rPr>
          <w:rFonts w:ascii="Times New Roman" w:hAnsi="Times New Roman"/>
          <w:bCs/>
          <w:iCs/>
          <w:sz w:val="24"/>
          <w:szCs w:val="24"/>
        </w:rPr>
        <w:t>ałącznik nr 1 do SWZ</w:t>
      </w:r>
      <w:r w:rsidRPr="001A0954">
        <w:rPr>
          <w:rFonts w:ascii="Times New Roman" w:hAnsi="Times New Roman"/>
          <w:b/>
          <w:i/>
          <w:sz w:val="24"/>
          <w:szCs w:val="24"/>
        </w:rPr>
        <w:t>.</w:t>
      </w:r>
    </w:p>
    <w:p w14:paraId="42D702B4"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14:paraId="4D8F9060"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lastRenderedPageBreak/>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14:paraId="17A29CAD"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14:paraId="54615E9B"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14:paraId="36773E45"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14:paraId="179CAE5E" w14:textId="287A6FF5"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w:t>
      </w:r>
      <w:r w:rsidR="005A1DF4">
        <w:rPr>
          <w:rFonts w:ascii="Times New Roman" w:hAnsi="Times New Roman"/>
          <w:noProof/>
          <w:sz w:val="24"/>
          <w:szCs w:val="24"/>
        </w:rPr>
        <w:t> </w:t>
      </w:r>
      <w:r w:rsidRPr="000F3325">
        <w:rPr>
          <w:rFonts w:ascii="Times New Roman" w:hAnsi="Times New Roman"/>
          <w:noProof/>
          <w:sz w:val="24"/>
          <w:szCs w:val="24"/>
        </w:rPr>
        <w:t>202</w:t>
      </w:r>
      <w:r w:rsidR="00CC79F6">
        <w:rPr>
          <w:rFonts w:ascii="Times New Roman" w:hAnsi="Times New Roman"/>
          <w:noProof/>
          <w:sz w:val="24"/>
          <w:szCs w:val="24"/>
        </w:rPr>
        <w:t xml:space="preserve">4 </w:t>
      </w:r>
      <w:r w:rsidRPr="000F3325">
        <w:rPr>
          <w:rFonts w:ascii="Times New Roman" w:hAnsi="Times New Roman"/>
          <w:noProof/>
          <w:sz w:val="24"/>
          <w:szCs w:val="24"/>
        </w:rPr>
        <w:t xml:space="preserve">r. poz. </w:t>
      </w:r>
      <w:r w:rsidR="00CC79F6">
        <w:rPr>
          <w:rFonts w:ascii="Times New Roman" w:hAnsi="Times New Roman"/>
          <w:noProof/>
          <w:sz w:val="24"/>
          <w:szCs w:val="24"/>
        </w:rPr>
        <w:t>361</w:t>
      </w:r>
      <w:r w:rsidRPr="000F3325">
        <w:rPr>
          <w:rFonts w:ascii="Times New Roman" w:hAnsi="Times New Roman"/>
          <w:noProof/>
          <w:sz w:val="24"/>
          <w:szCs w:val="24"/>
        </w:rPr>
        <w:t xml:space="preserve">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14:paraId="70DA02B2"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14:paraId="76A6497E"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14:paraId="645E571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14:paraId="123FF1FD"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14:paraId="3A33283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14:paraId="579A8D63"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14:paraId="5F2EECC6" w14:textId="77777777" w:rsidR="00F03A83" w:rsidRPr="000F3325" w:rsidRDefault="00F03A83" w:rsidP="00301BE1">
      <w:pPr>
        <w:pStyle w:val="Akapitzlist"/>
        <w:numPr>
          <w:ilvl w:val="0"/>
          <w:numId w:val="18"/>
        </w:numPr>
        <w:ind w:left="284"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14:paraId="263E51A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39621278"/>
      <w:bookmarkEnd w:id="47"/>
    </w:p>
    <w:p w14:paraId="3FCF58D2"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8" w:name="_Toc139621279"/>
      <w:r w:rsidRPr="000F3325">
        <w:t>WADIUM</w:t>
      </w:r>
      <w:bookmarkEnd w:id="48"/>
    </w:p>
    <w:p w14:paraId="108F5260" w14:textId="77777777" w:rsidR="0000763C" w:rsidRPr="00BE108F" w:rsidRDefault="00BE108F" w:rsidP="00BE108F">
      <w:pPr>
        <w:tabs>
          <w:tab w:val="left" w:pos="426"/>
        </w:tabs>
        <w:spacing w:before="120" w:after="120"/>
        <w:jc w:val="both"/>
        <w:rPr>
          <w:bCs/>
        </w:rPr>
      </w:pPr>
      <w:r w:rsidRPr="00BE108F">
        <w:rPr>
          <w:bCs/>
        </w:rPr>
        <w:t>Zamawiający nie żąda wniesienia wadium.</w:t>
      </w:r>
    </w:p>
    <w:p w14:paraId="6557D76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39621280"/>
      <w:bookmarkEnd w:id="49"/>
    </w:p>
    <w:p w14:paraId="75F09DC1"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39621281"/>
      <w:r w:rsidRPr="000F3325">
        <w:t>OPIS KRYTERIÓW OCENY OFERT, WRAZ Z PODANIEM WAG TYCH KRYTERIÓW I</w:t>
      </w:r>
      <w:r w:rsidR="00FA3D89">
        <w:t> </w:t>
      </w:r>
      <w:r w:rsidRPr="000F3325">
        <w:t>SPOSOBU OCENY OFERT</w:t>
      </w:r>
      <w:bookmarkEnd w:id="50"/>
    </w:p>
    <w:p w14:paraId="2AE0EC8D" w14:textId="77777777"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14:paraId="11DFA562" w14:textId="77777777"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14:paraId="4BD85101" w14:textId="0E344393"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sidR="001E690D">
        <w:rPr>
          <w:rFonts w:ascii="Times New Roman" w:hAnsi="Times New Roman"/>
          <w:b/>
          <w:color w:val="800000"/>
          <w:sz w:val="24"/>
          <w:szCs w:val="24"/>
        </w:rPr>
        <w:t>100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14:paraId="44A87A3D" w14:textId="77777777" w:rsidR="00F03A83" w:rsidRPr="000F3325" w:rsidRDefault="00F03A83" w:rsidP="00CE3B62">
      <w:pPr>
        <w:spacing w:line="276" w:lineRule="auto"/>
        <w:ind w:left="851"/>
        <w:jc w:val="both"/>
        <w:rPr>
          <w:b/>
          <w:i/>
        </w:rPr>
      </w:pPr>
      <w:r w:rsidRPr="000F3325">
        <w:rPr>
          <w:b/>
          <w:i/>
        </w:rPr>
        <w:t>Sposób obliczania wartości punktowej kryterium ceny:</w:t>
      </w:r>
    </w:p>
    <w:p w14:paraId="0E665F10" w14:textId="77777777"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14:paraId="0859A7AE" w14:textId="51BCC0E2" w:rsidR="00F03A83" w:rsidRPr="000F3325" w:rsidRDefault="00F03A83" w:rsidP="00CE3B62">
      <w:pPr>
        <w:spacing w:before="60" w:after="60" w:line="276" w:lineRule="auto"/>
        <w:ind w:left="851"/>
        <w:jc w:val="both"/>
        <w:rPr>
          <w:i/>
        </w:rPr>
      </w:pPr>
      <w:r w:rsidRPr="000F3325">
        <w:rPr>
          <w:i/>
        </w:rPr>
        <w:lastRenderedPageBreak/>
        <w:t>(C</w:t>
      </w:r>
      <w:r w:rsidRPr="000F3325">
        <w:rPr>
          <w:i/>
          <w:vertAlign w:val="subscript"/>
        </w:rPr>
        <w:t>min</w:t>
      </w:r>
      <w:r w:rsidRPr="000F3325">
        <w:rPr>
          <w:i/>
        </w:rPr>
        <w:t xml:space="preserve"> : C</w:t>
      </w:r>
      <w:r w:rsidRPr="000F3325">
        <w:rPr>
          <w:i/>
          <w:vertAlign w:val="subscript"/>
        </w:rPr>
        <w:t>n</w:t>
      </w:r>
      <w:r w:rsidRPr="000F3325">
        <w:rPr>
          <w:i/>
        </w:rPr>
        <w:t xml:space="preserve">) x </w:t>
      </w:r>
      <w:r w:rsidR="001E690D">
        <w:rPr>
          <w:i/>
        </w:rPr>
        <w:t>100</w:t>
      </w:r>
      <w:r w:rsidRPr="000F3325">
        <w:rPr>
          <w:i/>
        </w:rPr>
        <w:t xml:space="preserve">, gdzie: </w:t>
      </w:r>
    </w:p>
    <w:p w14:paraId="728280E5" w14:textId="77777777"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najniższa cena ogółem brutto spośród ofert nieodrzuconych</w:t>
      </w:r>
    </w:p>
    <w:p w14:paraId="1397C45C" w14:textId="77777777" w:rsidR="00F03A83" w:rsidRDefault="00F03A83" w:rsidP="00CE3B62">
      <w:pPr>
        <w:spacing w:after="120" w:line="276" w:lineRule="auto"/>
        <w:ind w:left="851"/>
        <w:jc w:val="both"/>
        <w:rPr>
          <w:i/>
        </w:rPr>
      </w:pPr>
      <w:r w:rsidRPr="000F3325">
        <w:rPr>
          <w:i/>
        </w:rPr>
        <w:t>C</w:t>
      </w:r>
      <w:r w:rsidRPr="000F3325">
        <w:rPr>
          <w:i/>
          <w:vertAlign w:val="subscript"/>
        </w:rPr>
        <w:t>n</w:t>
      </w:r>
      <w:r w:rsidRPr="000F3325">
        <w:rPr>
          <w:i/>
        </w:rPr>
        <w:t xml:space="preserve"> - cena ogółem brutto ocenianej ofert</w:t>
      </w:r>
    </w:p>
    <w:p w14:paraId="24AEB920" w14:textId="77777777" w:rsidR="003867CD" w:rsidRPr="003867CD" w:rsidRDefault="003867CD" w:rsidP="003867CD">
      <w:pPr>
        <w:pStyle w:val="Akapitzlist"/>
        <w:numPr>
          <w:ilvl w:val="0"/>
          <w:numId w:val="29"/>
        </w:numPr>
        <w:tabs>
          <w:tab w:val="left" w:pos="7230"/>
          <w:tab w:val="left" w:pos="8505"/>
        </w:tabs>
        <w:suppressAutoHyphens/>
        <w:spacing w:after="120"/>
        <w:jc w:val="both"/>
        <w:rPr>
          <w:rFonts w:ascii="Times New Roman" w:hAnsi="Times New Roman"/>
          <w:b/>
          <w:vanish/>
          <w:color w:val="800000"/>
          <w:sz w:val="24"/>
          <w:szCs w:val="24"/>
        </w:rPr>
      </w:pPr>
    </w:p>
    <w:p w14:paraId="611D60A9" w14:textId="77777777" w:rsidR="003867CD" w:rsidRPr="003867CD" w:rsidRDefault="003867CD" w:rsidP="003867CD">
      <w:pPr>
        <w:pStyle w:val="Akapitzlist"/>
        <w:numPr>
          <w:ilvl w:val="1"/>
          <w:numId w:val="29"/>
        </w:numPr>
        <w:tabs>
          <w:tab w:val="left" w:pos="7230"/>
          <w:tab w:val="left" w:pos="8505"/>
        </w:tabs>
        <w:suppressAutoHyphens/>
        <w:spacing w:after="120"/>
        <w:jc w:val="both"/>
        <w:rPr>
          <w:rFonts w:ascii="Times New Roman" w:hAnsi="Times New Roman"/>
          <w:b/>
          <w:vanish/>
          <w:color w:val="800000"/>
          <w:sz w:val="24"/>
          <w:szCs w:val="24"/>
        </w:rPr>
      </w:pPr>
    </w:p>
    <w:p w14:paraId="69BC3A6D" w14:textId="77777777"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14:paraId="751A5357" w14:textId="65AAD1A6"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P = C</w:t>
      </w:r>
      <w:r w:rsidR="00F03A83">
        <w:rPr>
          <w:rFonts w:ascii="Times New Roman" w:hAnsi="Times New Roman"/>
          <w:b/>
          <w:bCs/>
          <w:sz w:val="24"/>
          <w:szCs w:val="24"/>
        </w:rPr>
        <w:t>.</w:t>
      </w:r>
    </w:p>
    <w:p w14:paraId="0DFC3874" w14:textId="77777777"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14:paraId="200E79C2" w14:textId="77777777"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14:paraId="6661C31E" w14:textId="77777777"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14:paraId="4F874637" w14:textId="77777777"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39621282"/>
      <w:bookmarkEnd w:id="51"/>
    </w:p>
    <w:p w14:paraId="139D908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2" w:name="_Toc139621283"/>
      <w:r w:rsidRPr="000F3325">
        <w:t>SPOSÓB ORAZ TERMIN SKŁADANIA I OTWARCIA OFERT</w:t>
      </w:r>
      <w:bookmarkEnd w:id="52"/>
    </w:p>
    <w:p w14:paraId="1EBEA878" w14:textId="77777777" w:rsidR="00F03A83" w:rsidRPr="000F3325" w:rsidRDefault="00F03A83" w:rsidP="00301BE1">
      <w:pPr>
        <w:numPr>
          <w:ilvl w:val="0"/>
          <w:numId w:val="13"/>
        </w:numPr>
        <w:spacing w:before="120" w:line="276" w:lineRule="auto"/>
        <w:ind w:left="284" w:hanging="284"/>
        <w:jc w:val="both"/>
      </w:pPr>
      <w:r w:rsidRPr="000F3325">
        <w:t xml:space="preserve">Wykonawca składa ofertę za pośrednictwem Platformy Zakupowej Zamawiającego pod adresem: </w:t>
      </w:r>
      <w:hyperlink r:id="rId13"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14:paraId="1351CF20" w14:textId="4BEFF61D" w:rsidR="00F03A83" w:rsidRPr="000F3325" w:rsidRDefault="00F03A83" w:rsidP="00301BE1">
      <w:pPr>
        <w:numPr>
          <w:ilvl w:val="0"/>
          <w:numId w:val="13"/>
        </w:numPr>
        <w:spacing w:line="276" w:lineRule="auto"/>
        <w:ind w:left="284" w:hanging="284"/>
        <w:jc w:val="both"/>
      </w:pPr>
      <w:r w:rsidRPr="000F3325">
        <w:rPr>
          <w:b/>
        </w:rPr>
        <w:t xml:space="preserve">Ofertę wraz z wymaganymi załącznikami należy złożyć w terminie do dnia </w:t>
      </w:r>
      <w:r w:rsidR="005A1DF4">
        <w:rPr>
          <w:b/>
        </w:rPr>
        <w:t>11</w:t>
      </w:r>
      <w:r w:rsidRPr="00DC1DCA">
        <w:rPr>
          <w:b/>
        </w:rPr>
        <w:t>.</w:t>
      </w:r>
      <w:r w:rsidR="005A1DF4">
        <w:rPr>
          <w:b/>
        </w:rPr>
        <w:t>06</w:t>
      </w:r>
      <w:r w:rsidR="00580F40">
        <w:rPr>
          <w:b/>
        </w:rPr>
        <w:t>.202</w:t>
      </w:r>
      <w:r w:rsidR="0079218E">
        <w:rPr>
          <w:b/>
        </w:rPr>
        <w:t>5</w:t>
      </w:r>
      <w:r w:rsidR="00824873">
        <w:rPr>
          <w:b/>
        </w:rPr>
        <w:t xml:space="preserve"> </w:t>
      </w:r>
      <w:r w:rsidRPr="007E3EC1">
        <w:rPr>
          <w:b/>
        </w:rPr>
        <w:t>r</w:t>
      </w:r>
      <w:r w:rsidRPr="000F3325">
        <w:rPr>
          <w:b/>
        </w:rPr>
        <w:t xml:space="preserve">. do godz. </w:t>
      </w:r>
      <w:r>
        <w:rPr>
          <w:b/>
        </w:rPr>
        <w:t>10</w:t>
      </w:r>
      <w:r w:rsidRPr="000F3325">
        <w:rPr>
          <w:b/>
        </w:rPr>
        <w:t>:00.</w:t>
      </w:r>
    </w:p>
    <w:p w14:paraId="4483B5B3" w14:textId="77777777" w:rsidR="00F03A83" w:rsidRPr="000F3325" w:rsidRDefault="00F03A83" w:rsidP="00301BE1">
      <w:pPr>
        <w:numPr>
          <w:ilvl w:val="0"/>
          <w:numId w:val="13"/>
        </w:numPr>
        <w:spacing w:line="276" w:lineRule="auto"/>
        <w:ind w:left="284" w:hanging="284"/>
        <w:jc w:val="both"/>
      </w:pPr>
      <w:r w:rsidRPr="000F3325">
        <w:t>Zamawiający odrzuci ofertę złożoną po terminie składania ofert.</w:t>
      </w:r>
    </w:p>
    <w:p w14:paraId="0BDE5AEA" w14:textId="77777777" w:rsidR="00F03A83" w:rsidRPr="000F3325" w:rsidRDefault="00F03A83" w:rsidP="00301BE1">
      <w:pPr>
        <w:numPr>
          <w:ilvl w:val="0"/>
          <w:numId w:val="13"/>
        </w:numPr>
        <w:spacing w:line="276" w:lineRule="auto"/>
        <w:ind w:left="284" w:hanging="284"/>
        <w:jc w:val="both"/>
      </w:pPr>
      <w:r w:rsidRPr="000F3325">
        <w:rPr>
          <w:bCs/>
        </w:rPr>
        <w:t>Wykonawca, za pośrednictwem Platformy Zakupowej może przed upływem terminu do składania ofert zmienić lub wycofać ofertę.</w:t>
      </w:r>
    </w:p>
    <w:p w14:paraId="6C52700A"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14:paraId="31A10FD8"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14:paraId="0AE98DA4" w14:textId="4F622955" w:rsidR="00F03A83" w:rsidRPr="000F3325" w:rsidRDefault="00F03A83" w:rsidP="00301BE1">
      <w:pPr>
        <w:numPr>
          <w:ilvl w:val="0"/>
          <w:numId w:val="13"/>
        </w:numPr>
        <w:spacing w:line="276" w:lineRule="auto"/>
        <w:ind w:left="284" w:hanging="284"/>
        <w:jc w:val="both"/>
      </w:pPr>
      <w:r w:rsidRPr="000F3325">
        <w:rPr>
          <w:b/>
        </w:rPr>
        <w:t xml:space="preserve">Otwarcie ofert nastąpi w </w:t>
      </w:r>
      <w:r w:rsidRPr="007E3EC1">
        <w:rPr>
          <w:b/>
        </w:rPr>
        <w:t xml:space="preserve">dniu </w:t>
      </w:r>
      <w:r w:rsidR="005A1DF4">
        <w:rPr>
          <w:b/>
        </w:rPr>
        <w:t>11</w:t>
      </w:r>
      <w:r w:rsidRPr="00DC1DCA">
        <w:rPr>
          <w:b/>
        </w:rPr>
        <w:t>.0</w:t>
      </w:r>
      <w:r w:rsidR="005A1DF4">
        <w:rPr>
          <w:b/>
        </w:rPr>
        <w:t>6</w:t>
      </w:r>
      <w:r w:rsidRPr="00DC1DCA">
        <w:rPr>
          <w:b/>
        </w:rPr>
        <w:t>.</w:t>
      </w:r>
      <w:r w:rsidR="00580F40">
        <w:rPr>
          <w:b/>
        </w:rPr>
        <w:t>202</w:t>
      </w:r>
      <w:r w:rsidR="0079218E">
        <w:rPr>
          <w:b/>
        </w:rPr>
        <w:t>5</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14:paraId="3CEB7A96" w14:textId="77777777" w:rsidR="00F03A83" w:rsidRPr="000F3325" w:rsidRDefault="00F03A83" w:rsidP="00301BE1">
      <w:pPr>
        <w:numPr>
          <w:ilvl w:val="0"/>
          <w:numId w:val="13"/>
        </w:numPr>
        <w:spacing w:line="276" w:lineRule="auto"/>
        <w:ind w:left="284" w:hanging="284"/>
        <w:jc w:val="both"/>
      </w:pPr>
      <w:r w:rsidRPr="000F3325">
        <w:t>Otwarcie ofert jest niejawne.</w:t>
      </w:r>
    </w:p>
    <w:p w14:paraId="30CA9433" w14:textId="77777777" w:rsidR="00F03A83" w:rsidRPr="000F3325" w:rsidRDefault="00F03A83" w:rsidP="00301BE1">
      <w:pPr>
        <w:numPr>
          <w:ilvl w:val="0"/>
          <w:numId w:val="13"/>
        </w:numPr>
        <w:spacing w:line="276" w:lineRule="auto"/>
        <w:ind w:left="284" w:hanging="284"/>
        <w:jc w:val="both"/>
      </w:pPr>
      <w:r w:rsidRPr="000F3325">
        <w:t>Zamawiający, najpóźniej przed otwarciem ofert, udostępnia na stronie internetowej prowadzonego postepowania informację o kwocie, jaką zamierza przeznaczyć́ na sfinansowanie zamówienia.</w:t>
      </w:r>
    </w:p>
    <w:p w14:paraId="66A43BD8" w14:textId="77777777" w:rsidR="00F03A83" w:rsidRPr="000F3325" w:rsidRDefault="00F03A83" w:rsidP="00301BE1">
      <w:pPr>
        <w:numPr>
          <w:ilvl w:val="0"/>
          <w:numId w:val="13"/>
        </w:numPr>
        <w:spacing w:line="276" w:lineRule="auto"/>
        <w:ind w:left="284" w:hanging="426"/>
        <w:jc w:val="both"/>
      </w:pPr>
      <w:r w:rsidRPr="000F3325">
        <w:t>Niezwłocznie po otwarciu ofert, udostępnia się na stronie internetowej prowadzonego postępowania informacje o:</w:t>
      </w:r>
    </w:p>
    <w:p w14:paraId="4598CD12" w14:textId="77777777" w:rsidR="00F03A83" w:rsidRPr="000F3325" w:rsidRDefault="00F03A83" w:rsidP="00301BE1">
      <w:pPr>
        <w:numPr>
          <w:ilvl w:val="1"/>
          <w:numId w:val="13"/>
        </w:numPr>
        <w:spacing w:line="276" w:lineRule="auto"/>
        <w:ind w:left="851" w:hanging="567"/>
        <w:jc w:val="both"/>
      </w:pPr>
      <w:r w:rsidRPr="000F3325">
        <w:t xml:space="preserve">nazwach albo imionach i nazwiskach oraz siedzibach lub miejscach prowadzonej działalności gospodarczej albo miejscach zamieszkania wykonawców, których oferty zostały otwarte; </w:t>
      </w:r>
    </w:p>
    <w:p w14:paraId="12001232" w14:textId="77777777" w:rsidR="00F03A83" w:rsidRPr="000F3325" w:rsidRDefault="00F03A83" w:rsidP="00301BE1">
      <w:pPr>
        <w:numPr>
          <w:ilvl w:val="1"/>
          <w:numId w:val="13"/>
        </w:numPr>
        <w:spacing w:line="276" w:lineRule="auto"/>
        <w:ind w:left="851" w:hanging="567"/>
        <w:jc w:val="both"/>
      </w:pPr>
      <w:r w:rsidRPr="000F3325">
        <w:t>cenach lub kosztach zawartych w ofertach.</w:t>
      </w:r>
    </w:p>
    <w:p w14:paraId="27C6B5CC" w14:textId="77777777"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14:paraId="0D391E5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39621284"/>
      <w:bookmarkStart w:id="54" w:name="_Toc108487439"/>
      <w:bookmarkStart w:id="55" w:name="_Toc321297763"/>
      <w:bookmarkStart w:id="56" w:name="_Toc360626585"/>
      <w:bookmarkEnd w:id="53"/>
    </w:p>
    <w:p w14:paraId="634DB12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7" w:name="_Toc139621285"/>
      <w:r w:rsidRPr="000F3325">
        <w:t>TERMIN ZWIĄZANIA OFERTĄ</w:t>
      </w:r>
      <w:bookmarkEnd w:id="54"/>
      <w:bookmarkEnd w:id="55"/>
      <w:bookmarkEnd w:id="56"/>
      <w:bookmarkEnd w:id="57"/>
    </w:p>
    <w:p w14:paraId="369295FD" w14:textId="571AA720"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5A1DF4">
        <w:rPr>
          <w:b/>
        </w:rPr>
        <w:t>10</w:t>
      </w:r>
      <w:r w:rsidR="00BE108F">
        <w:rPr>
          <w:b/>
        </w:rPr>
        <w:t>.</w:t>
      </w:r>
      <w:r w:rsidR="0079218E">
        <w:rPr>
          <w:b/>
        </w:rPr>
        <w:t>0</w:t>
      </w:r>
      <w:r w:rsidR="005A1DF4">
        <w:rPr>
          <w:b/>
        </w:rPr>
        <w:t>7</w:t>
      </w:r>
      <w:r w:rsidR="00580F40">
        <w:rPr>
          <w:b/>
        </w:rPr>
        <w:t>.202</w:t>
      </w:r>
      <w:r w:rsidR="0079218E">
        <w:rPr>
          <w:b/>
        </w:rPr>
        <w:t>5</w:t>
      </w:r>
      <w:r w:rsidRPr="006E0F9E">
        <w:rPr>
          <w:b/>
        </w:rPr>
        <w:t xml:space="preserve"> r.</w:t>
      </w:r>
    </w:p>
    <w:p w14:paraId="3090DCCF" w14:textId="77777777" w:rsidR="00F03A83" w:rsidRPr="000F3325" w:rsidRDefault="00F03A83" w:rsidP="00CE3B62">
      <w:pPr>
        <w:numPr>
          <w:ilvl w:val="0"/>
          <w:numId w:val="4"/>
        </w:numPr>
        <w:tabs>
          <w:tab w:val="clear" w:pos="1440"/>
        </w:tabs>
        <w:spacing w:line="276" w:lineRule="auto"/>
        <w:ind w:left="392"/>
        <w:jc w:val="both"/>
      </w:pPr>
      <w:r w:rsidRPr="000F3325">
        <w:t xml:space="preserve">W przypadku, gdy wybór najkorzystniejszej oferty nie nastąpi przed upływem terminu związania ofertą określonego w SWZ, Zamawiający przed upływem terminu związania ofertą zwraca się </w:t>
      </w:r>
      <w:r w:rsidRPr="000F3325">
        <w:lastRenderedPageBreak/>
        <w:t>jednokrotnie do Wykonawców o wyrażenie na przedłużenie tergo terminu o</w:t>
      </w:r>
      <w:r>
        <w:t> </w:t>
      </w:r>
      <w:r w:rsidRPr="000F3325">
        <w:t>wskazany przez niego okres, nie dłuższy niż 30 dni.</w:t>
      </w:r>
    </w:p>
    <w:p w14:paraId="4073B921" w14:textId="77777777"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14:paraId="32920F3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39621286"/>
      <w:bookmarkEnd w:id="58"/>
    </w:p>
    <w:p w14:paraId="285E7DD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39621287"/>
      <w:r w:rsidRPr="000F3325">
        <w:t>INFORMACJE O FORMALNOŚCIACH, JAKIE POWINNY BYĆ DOPEŁNIONE PO WYBORZE OFERTY W CELU ZAWARCIA UMOWY W SPRAWIE ZAMÓWIENIA PUBLICZNEGO</w:t>
      </w:r>
      <w:bookmarkEnd w:id="59"/>
    </w:p>
    <w:p w14:paraId="4C0F2255" w14:textId="77777777"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14:paraId="7BA506AB"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14:paraId="04FDCEA1"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17EC9762"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14:paraId="6A785A79"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14:paraId="2633C5ED" w14:textId="77777777"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0" w:name="_Toc108487445"/>
    </w:p>
    <w:p w14:paraId="2B3CD324" w14:textId="77777777" w:rsidR="00A77542" w:rsidRDefault="00A77542" w:rsidP="00A77542">
      <w:pPr>
        <w:spacing w:line="276" w:lineRule="auto"/>
        <w:ind w:left="425"/>
        <w:jc w:val="both"/>
        <w:rPr>
          <w:noProof/>
        </w:rPr>
      </w:pPr>
    </w:p>
    <w:p w14:paraId="577CCED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39621288"/>
      <w:bookmarkEnd w:id="61"/>
    </w:p>
    <w:p w14:paraId="6A17E1E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2" w:name="_Toc139621289"/>
      <w:r w:rsidRPr="000F3325">
        <w:t>Projektowane postanowienia umowy w sprawie zamówienia publicznego, które zostaną wprowadzone do treści umowy</w:t>
      </w:r>
      <w:bookmarkEnd w:id="62"/>
    </w:p>
    <w:p w14:paraId="31412B10" w14:textId="77777777"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14:paraId="2C1DD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39621290"/>
      <w:bookmarkEnd w:id="66"/>
    </w:p>
    <w:p w14:paraId="0F2A72E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7" w:name="_Toc139621291"/>
      <w:r w:rsidRPr="000F3325">
        <w:t>ZABEZPIECZENIE NALEŻYTEGO WYKONANIA UMOWY</w:t>
      </w:r>
      <w:bookmarkEnd w:id="63"/>
      <w:bookmarkEnd w:id="64"/>
      <w:bookmarkEnd w:id="65"/>
      <w:bookmarkEnd w:id="67"/>
    </w:p>
    <w:p w14:paraId="5BF10DDF" w14:textId="6DD00C00" w:rsidR="00F03A83" w:rsidRPr="00F709ED" w:rsidRDefault="00301BE1" w:rsidP="00204D5C">
      <w:pPr>
        <w:spacing w:before="120" w:after="120" w:line="276" w:lineRule="auto"/>
        <w:jc w:val="both"/>
        <w:rPr>
          <w:bCs/>
        </w:rPr>
      </w:pPr>
      <w:r>
        <w:rPr>
          <w:bCs/>
        </w:rPr>
        <w:t>Zamawiający nie wymaga wniesienia zabezpieczenia należytego wykonania umowy.</w:t>
      </w:r>
    </w:p>
    <w:p w14:paraId="49AE0365" w14:textId="77777777"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39621292"/>
      <w:bookmarkStart w:id="69" w:name="_Toc321297771"/>
      <w:bookmarkStart w:id="70" w:name="_Toc360626592"/>
      <w:bookmarkEnd w:id="68"/>
    </w:p>
    <w:p w14:paraId="33C51C4C" w14:textId="77777777"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1" w:name="_Toc139621293"/>
      <w:r w:rsidRPr="000F3325">
        <w:t>ŚRODKI OCHRONY PRAWNEJ</w:t>
      </w:r>
      <w:bookmarkEnd w:id="60"/>
      <w:bookmarkEnd w:id="69"/>
      <w:bookmarkEnd w:id="70"/>
      <w:bookmarkEnd w:id="71"/>
    </w:p>
    <w:p w14:paraId="2BDB6AF3" w14:textId="77777777"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14:paraId="1BA2AFDD"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B4184FB"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14:paraId="2B9766E7"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14:paraId="6A537DF6"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14:paraId="2014429A"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14:paraId="444BC791" w14:textId="77777777"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6A62B" w14:textId="77777777" w:rsidR="00FB3F09" w:rsidRDefault="00FB3F09" w:rsidP="00F03A83">
      <w:r>
        <w:separator/>
      </w:r>
    </w:p>
  </w:endnote>
  <w:endnote w:type="continuationSeparator" w:id="0">
    <w:p w14:paraId="7B1DE2AC" w14:textId="77777777" w:rsidR="00FB3F09" w:rsidRDefault="00FB3F09"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24787"/>
      <w:docPartObj>
        <w:docPartGallery w:val="Page Numbers (Bottom of Page)"/>
        <w:docPartUnique/>
      </w:docPartObj>
    </w:sdtPr>
    <w:sdtContent>
      <w:p w14:paraId="45079C39" w14:textId="77777777" w:rsidR="00437017" w:rsidRDefault="00437017">
        <w:pPr>
          <w:pStyle w:val="Stopka"/>
          <w:jc w:val="right"/>
        </w:pPr>
        <w:r>
          <w:fldChar w:fldCharType="begin"/>
        </w:r>
        <w:r>
          <w:instrText>PAGE   \* MERGEFORMAT</w:instrText>
        </w:r>
        <w:r>
          <w:fldChar w:fldCharType="separate"/>
        </w:r>
        <w:r w:rsidR="00085DC2">
          <w:rPr>
            <w:noProof/>
          </w:rPr>
          <w:t>20</w:t>
        </w:r>
        <w:r>
          <w:fldChar w:fldCharType="end"/>
        </w:r>
      </w:p>
    </w:sdtContent>
  </w:sdt>
  <w:p w14:paraId="50011B1C" w14:textId="77777777" w:rsidR="00437017" w:rsidRDefault="004370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8515" w14:textId="77777777" w:rsidR="00FB3F09" w:rsidRDefault="00FB3F09" w:rsidP="00F03A83">
      <w:r>
        <w:separator/>
      </w:r>
    </w:p>
  </w:footnote>
  <w:footnote w:type="continuationSeparator" w:id="0">
    <w:p w14:paraId="7A01F3E9" w14:textId="77777777" w:rsidR="00FB3F09" w:rsidRDefault="00FB3F09" w:rsidP="00F0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5F44"/>
    <w:multiLevelType w:val="hybridMultilevel"/>
    <w:tmpl w:val="DE168EB8"/>
    <w:lvl w:ilvl="0" w:tplc="69D0DB18">
      <w:start w:val="2"/>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5571A"/>
    <w:multiLevelType w:val="hybridMultilevel"/>
    <w:tmpl w:val="80E0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FD2550"/>
    <w:multiLevelType w:val="hybridMultilevel"/>
    <w:tmpl w:val="6A72231C"/>
    <w:lvl w:ilvl="0" w:tplc="AC6E8F46">
      <w:start w:val="2"/>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F40416"/>
    <w:multiLevelType w:val="hybridMultilevel"/>
    <w:tmpl w:val="EC46D42A"/>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0"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6" w15:restartNumberingAfterBreak="0">
    <w:nsid w:val="1A1D077C"/>
    <w:multiLevelType w:val="hybridMultilevel"/>
    <w:tmpl w:val="AC3062E6"/>
    <w:lvl w:ilvl="0" w:tplc="B6FC5CF0">
      <w:start w:val="1"/>
      <w:numFmt w:val="lowerLetter"/>
      <w:lvlText w:val="%1)"/>
      <w:lvlJc w:val="left"/>
      <w:pPr>
        <w:ind w:left="1571" w:hanging="360"/>
      </w:pPr>
      <w:rPr>
        <w:sz w:val="24"/>
      </w:rPr>
    </w:lvl>
    <w:lvl w:ilvl="1" w:tplc="1D78E9E0">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8" w15:restartNumberingAfterBreak="0">
    <w:nsid w:val="1E974FEF"/>
    <w:multiLevelType w:val="hybridMultilevel"/>
    <w:tmpl w:val="AF86493A"/>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0"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6"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E762BF"/>
    <w:multiLevelType w:val="multilevel"/>
    <w:tmpl w:val="3F282E0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color w:val="80000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32"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5" w15:restartNumberingAfterBreak="0">
    <w:nsid w:val="4D910523"/>
    <w:multiLevelType w:val="hybridMultilevel"/>
    <w:tmpl w:val="974A611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36"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44"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7"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16cid:durableId="1706251404">
    <w:abstractNumId w:val="21"/>
  </w:num>
  <w:num w:numId="2" w16cid:durableId="1071318398">
    <w:abstractNumId w:val="44"/>
  </w:num>
  <w:num w:numId="3" w16cid:durableId="1472602243">
    <w:abstractNumId w:val="24"/>
  </w:num>
  <w:num w:numId="4" w16cid:durableId="863204083">
    <w:abstractNumId w:val="46"/>
  </w:num>
  <w:num w:numId="5" w16cid:durableId="171578024">
    <w:abstractNumId w:val="36"/>
  </w:num>
  <w:num w:numId="6" w16cid:durableId="485323069">
    <w:abstractNumId w:val="28"/>
  </w:num>
  <w:num w:numId="7" w16cid:durableId="1725988084">
    <w:abstractNumId w:val="34"/>
  </w:num>
  <w:num w:numId="8" w16cid:durableId="1592929438">
    <w:abstractNumId w:val="10"/>
  </w:num>
  <w:num w:numId="9" w16cid:durableId="909659182">
    <w:abstractNumId w:val="40"/>
  </w:num>
  <w:num w:numId="10" w16cid:durableId="1321078418">
    <w:abstractNumId w:val="48"/>
    <w:lvlOverride w:ilvl="0">
      <w:startOverride w:val="1"/>
    </w:lvlOverride>
    <w:lvlOverride w:ilvl="1"/>
    <w:lvlOverride w:ilvl="2"/>
    <w:lvlOverride w:ilvl="3"/>
    <w:lvlOverride w:ilvl="4"/>
    <w:lvlOverride w:ilvl="5"/>
    <w:lvlOverride w:ilvl="6"/>
    <w:lvlOverride w:ilvl="7"/>
    <w:lvlOverride w:ilvl="8"/>
  </w:num>
  <w:num w:numId="11" w16cid:durableId="1670713484">
    <w:abstractNumId w:val="27"/>
  </w:num>
  <w:num w:numId="12" w16cid:durableId="1438216953">
    <w:abstractNumId w:val="47"/>
  </w:num>
  <w:num w:numId="13" w16cid:durableId="2045672147">
    <w:abstractNumId w:val="7"/>
  </w:num>
  <w:num w:numId="14" w16cid:durableId="46612135">
    <w:abstractNumId w:val="43"/>
  </w:num>
  <w:num w:numId="15" w16cid:durableId="136919577">
    <w:abstractNumId w:val="20"/>
  </w:num>
  <w:num w:numId="16" w16cid:durableId="523129152">
    <w:abstractNumId w:val="26"/>
  </w:num>
  <w:num w:numId="17" w16cid:durableId="1222248293">
    <w:abstractNumId w:val="22"/>
  </w:num>
  <w:num w:numId="18" w16cid:durableId="378556501">
    <w:abstractNumId w:val="14"/>
  </w:num>
  <w:num w:numId="19" w16cid:durableId="677733165">
    <w:abstractNumId w:val="30"/>
  </w:num>
  <w:num w:numId="20" w16cid:durableId="1365981851">
    <w:abstractNumId w:val="37"/>
  </w:num>
  <w:num w:numId="21" w16cid:durableId="625350155">
    <w:abstractNumId w:val="15"/>
  </w:num>
  <w:num w:numId="22" w16cid:durableId="1246919154">
    <w:abstractNumId w:val="41"/>
  </w:num>
  <w:num w:numId="23" w16cid:durableId="715083520">
    <w:abstractNumId w:val="17"/>
  </w:num>
  <w:num w:numId="24" w16cid:durableId="2111048021">
    <w:abstractNumId w:val="23"/>
  </w:num>
  <w:num w:numId="25" w16cid:durableId="98260600">
    <w:abstractNumId w:val="5"/>
  </w:num>
  <w:num w:numId="26" w16cid:durableId="2079286367">
    <w:abstractNumId w:val="25"/>
  </w:num>
  <w:num w:numId="27" w16cid:durableId="1680044132">
    <w:abstractNumId w:val="19"/>
  </w:num>
  <w:num w:numId="28" w16cid:durableId="1919710915">
    <w:abstractNumId w:val="38"/>
  </w:num>
  <w:num w:numId="29" w16cid:durableId="2007435404">
    <w:abstractNumId w:val="42"/>
  </w:num>
  <w:num w:numId="30" w16cid:durableId="246498952">
    <w:abstractNumId w:val="33"/>
  </w:num>
  <w:num w:numId="31" w16cid:durableId="1691905681">
    <w:abstractNumId w:val="1"/>
  </w:num>
  <w:num w:numId="32" w16cid:durableId="472066041">
    <w:abstractNumId w:val="2"/>
  </w:num>
  <w:num w:numId="33" w16cid:durableId="452676539">
    <w:abstractNumId w:val="4"/>
  </w:num>
  <w:num w:numId="34" w16cid:durableId="759254364">
    <w:abstractNumId w:val="39"/>
  </w:num>
  <w:num w:numId="35" w16cid:durableId="2043702484">
    <w:abstractNumId w:val="12"/>
  </w:num>
  <w:num w:numId="36" w16cid:durableId="1340232463">
    <w:abstractNumId w:val="13"/>
  </w:num>
  <w:num w:numId="37" w16cid:durableId="1739400029">
    <w:abstractNumId w:val="8"/>
  </w:num>
  <w:num w:numId="38" w16cid:durableId="1660232470">
    <w:abstractNumId w:val="32"/>
  </w:num>
  <w:num w:numId="39" w16cid:durableId="1794639120">
    <w:abstractNumId w:val="3"/>
  </w:num>
  <w:num w:numId="40" w16cid:durableId="265233801">
    <w:abstractNumId w:val="11"/>
  </w:num>
  <w:num w:numId="41" w16cid:durableId="1005017367">
    <w:abstractNumId w:val="29"/>
  </w:num>
  <w:num w:numId="42" w16cid:durableId="197395104">
    <w:abstractNumId w:val="45"/>
  </w:num>
  <w:num w:numId="43" w16cid:durableId="1180782010">
    <w:abstractNumId w:val="16"/>
  </w:num>
  <w:num w:numId="44" w16cid:durableId="294721088">
    <w:abstractNumId w:val="31"/>
  </w:num>
  <w:num w:numId="45" w16cid:durableId="1622807148">
    <w:abstractNumId w:val="18"/>
  </w:num>
  <w:num w:numId="46" w16cid:durableId="1370304648">
    <w:abstractNumId w:val="9"/>
  </w:num>
  <w:num w:numId="47" w16cid:durableId="1824664731">
    <w:abstractNumId w:val="0"/>
  </w:num>
  <w:num w:numId="48" w16cid:durableId="1259871145">
    <w:abstractNumId w:val="35"/>
  </w:num>
  <w:num w:numId="49" w16cid:durableId="1910918315">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D3"/>
    <w:rsid w:val="000057D9"/>
    <w:rsid w:val="0000763C"/>
    <w:rsid w:val="00031D1C"/>
    <w:rsid w:val="0003458C"/>
    <w:rsid w:val="00037B0F"/>
    <w:rsid w:val="000634A0"/>
    <w:rsid w:val="000649AF"/>
    <w:rsid w:val="00065688"/>
    <w:rsid w:val="00085DC2"/>
    <w:rsid w:val="000906B2"/>
    <w:rsid w:val="00094602"/>
    <w:rsid w:val="000A4666"/>
    <w:rsid w:val="000C30F7"/>
    <w:rsid w:val="000E1874"/>
    <w:rsid w:val="000E19D1"/>
    <w:rsid w:val="000E5A52"/>
    <w:rsid w:val="000E7F6B"/>
    <w:rsid w:val="000F0F91"/>
    <w:rsid w:val="001241A4"/>
    <w:rsid w:val="00125588"/>
    <w:rsid w:val="001425C7"/>
    <w:rsid w:val="001505FD"/>
    <w:rsid w:val="00156165"/>
    <w:rsid w:val="00192F22"/>
    <w:rsid w:val="00195F0F"/>
    <w:rsid w:val="001A0954"/>
    <w:rsid w:val="001A41CA"/>
    <w:rsid w:val="001B46D7"/>
    <w:rsid w:val="001C1110"/>
    <w:rsid w:val="001D23CE"/>
    <w:rsid w:val="001D4CCE"/>
    <w:rsid w:val="001D7AF8"/>
    <w:rsid w:val="001E3088"/>
    <w:rsid w:val="001E690D"/>
    <w:rsid w:val="00204D5C"/>
    <w:rsid w:val="00210A6D"/>
    <w:rsid w:val="00221D3F"/>
    <w:rsid w:val="0022589D"/>
    <w:rsid w:val="00245281"/>
    <w:rsid w:val="00247AF2"/>
    <w:rsid w:val="0026137E"/>
    <w:rsid w:val="00270585"/>
    <w:rsid w:val="00271CD6"/>
    <w:rsid w:val="00273050"/>
    <w:rsid w:val="00283FF2"/>
    <w:rsid w:val="002A7A01"/>
    <w:rsid w:val="002C0091"/>
    <w:rsid w:val="002C2412"/>
    <w:rsid w:val="002C60C3"/>
    <w:rsid w:val="002D7C51"/>
    <w:rsid w:val="002F3F44"/>
    <w:rsid w:val="00301BE1"/>
    <w:rsid w:val="00340D3B"/>
    <w:rsid w:val="0034339A"/>
    <w:rsid w:val="003539C2"/>
    <w:rsid w:val="003711AA"/>
    <w:rsid w:val="003811ED"/>
    <w:rsid w:val="00382343"/>
    <w:rsid w:val="003867CD"/>
    <w:rsid w:val="003B53E4"/>
    <w:rsid w:val="003C1B7D"/>
    <w:rsid w:val="003E731C"/>
    <w:rsid w:val="0040417C"/>
    <w:rsid w:val="00405866"/>
    <w:rsid w:val="00433166"/>
    <w:rsid w:val="00437017"/>
    <w:rsid w:val="004572C4"/>
    <w:rsid w:val="004805CB"/>
    <w:rsid w:val="004808AA"/>
    <w:rsid w:val="004A6D12"/>
    <w:rsid w:val="004F2AC5"/>
    <w:rsid w:val="00504D1B"/>
    <w:rsid w:val="005062C2"/>
    <w:rsid w:val="00506C44"/>
    <w:rsid w:val="0051552B"/>
    <w:rsid w:val="00520412"/>
    <w:rsid w:val="00520BC3"/>
    <w:rsid w:val="0053567C"/>
    <w:rsid w:val="00546EF8"/>
    <w:rsid w:val="005749D5"/>
    <w:rsid w:val="00580F40"/>
    <w:rsid w:val="005A1DF4"/>
    <w:rsid w:val="005A3E26"/>
    <w:rsid w:val="005B320E"/>
    <w:rsid w:val="005B3A2B"/>
    <w:rsid w:val="005C34F7"/>
    <w:rsid w:val="005C7F52"/>
    <w:rsid w:val="005D29A7"/>
    <w:rsid w:val="005E0476"/>
    <w:rsid w:val="005E43DC"/>
    <w:rsid w:val="005F0704"/>
    <w:rsid w:val="00606609"/>
    <w:rsid w:val="0063663E"/>
    <w:rsid w:val="006561F5"/>
    <w:rsid w:val="00694F5E"/>
    <w:rsid w:val="006D5A9D"/>
    <w:rsid w:val="006E2BA7"/>
    <w:rsid w:val="006E4D3D"/>
    <w:rsid w:val="006F3CB4"/>
    <w:rsid w:val="006F7B85"/>
    <w:rsid w:val="0070488F"/>
    <w:rsid w:val="00736AEE"/>
    <w:rsid w:val="007569A4"/>
    <w:rsid w:val="00775674"/>
    <w:rsid w:val="007866E5"/>
    <w:rsid w:val="0079218E"/>
    <w:rsid w:val="00793A40"/>
    <w:rsid w:val="00796608"/>
    <w:rsid w:val="007A39EA"/>
    <w:rsid w:val="007B08B2"/>
    <w:rsid w:val="007D5582"/>
    <w:rsid w:val="007D6BC6"/>
    <w:rsid w:val="00803822"/>
    <w:rsid w:val="00824873"/>
    <w:rsid w:val="00827A89"/>
    <w:rsid w:val="00832604"/>
    <w:rsid w:val="0083472B"/>
    <w:rsid w:val="0084798D"/>
    <w:rsid w:val="00854677"/>
    <w:rsid w:val="008712C0"/>
    <w:rsid w:val="0088523B"/>
    <w:rsid w:val="0089341E"/>
    <w:rsid w:val="008A1812"/>
    <w:rsid w:val="008C3B7C"/>
    <w:rsid w:val="008D1C40"/>
    <w:rsid w:val="008E3CA1"/>
    <w:rsid w:val="008F39EC"/>
    <w:rsid w:val="008F607A"/>
    <w:rsid w:val="00907B36"/>
    <w:rsid w:val="00913B1E"/>
    <w:rsid w:val="00940BF1"/>
    <w:rsid w:val="00942E95"/>
    <w:rsid w:val="00971A9E"/>
    <w:rsid w:val="009802CA"/>
    <w:rsid w:val="00995BFD"/>
    <w:rsid w:val="009C177A"/>
    <w:rsid w:val="009C5695"/>
    <w:rsid w:val="009E59E2"/>
    <w:rsid w:val="009E68EA"/>
    <w:rsid w:val="009F072C"/>
    <w:rsid w:val="00A06B04"/>
    <w:rsid w:val="00A13821"/>
    <w:rsid w:val="00A158D2"/>
    <w:rsid w:val="00A22C5D"/>
    <w:rsid w:val="00A327D3"/>
    <w:rsid w:val="00A3626B"/>
    <w:rsid w:val="00A412E3"/>
    <w:rsid w:val="00A531F4"/>
    <w:rsid w:val="00A64694"/>
    <w:rsid w:val="00A77542"/>
    <w:rsid w:val="00A8051B"/>
    <w:rsid w:val="00A83A27"/>
    <w:rsid w:val="00A874FD"/>
    <w:rsid w:val="00AA16D5"/>
    <w:rsid w:val="00AD3CE4"/>
    <w:rsid w:val="00B00421"/>
    <w:rsid w:val="00B14E4C"/>
    <w:rsid w:val="00B30D2A"/>
    <w:rsid w:val="00B317D0"/>
    <w:rsid w:val="00B47EBD"/>
    <w:rsid w:val="00B6547F"/>
    <w:rsid w:val="00B814F5"/>
    <w:rsid w:val="00B97315"/>
    <w:rsid w:val="00BA197C"/>
    <w:rsid w:val="00BB4EC3"/>
    <w:rsid w:val="00BB5C9D"/>
    <w:rsid w:val="00BE108F"/>
    <w:rsid w:val="00BE5A3D"/>
    <w:rsid w:val="00C122B0"/>
    <w:rsid w:val="00C202EC"/>
    <w:rsid w:val="00C37ADF"/>
    <w:rsid w:val="00C40972"/>
    <w:rsid w:val="00C46B8B"/>
    <w:rsid w:val="00C67EC2"/>
    <w:rsid w:val="00C76653"/>
    <w:rsid w:val="00C86601"/>
    <w:rsid w:val="00C91E15"/>
    <w:rsid w:val="00C9220A"/>
    <w:rsid w:val="00C92B82"/>
    <w:rsid w:val="00C93F96"/>
    <w:rsid w:val="00CA68C8"/>
    <w:rsid w:val="00CC6B8A"/>
    <w:rsid w:val="00CC79F6"/>
    <w:rsid w:val="00CD6FD3"/>
    <w:rsid w:val="00CE119E"/>
    <w:rsid w:val="00CE32C4"/>
    <w:rsid w:val="00CE3B62"/>
    <w:rsid w:val="00D4572A"/>
    <w:rsid w:val="00D46FEE"/>
    <w:rsid w:val="00D615B5"/>
    <w:rsid w:val="00D640BF"/>
    <w:rsid w:val="00D73531"/>
    <w:rsid w:val="00D8419E"/>
    <w:rsid w:val="00D877AD"/>
    <w:rsid w:val="00DC1DCA"/>
    <w:rsid w:val="00DD2280"/>
    <w:rsid w:val="00DE704A"/>
    <w:rsid w:val="00E031F3"/>
    <w:rsid w:val="00E0520E"/>
    <w:rsid w:val="00E05A91"/>
    <w:rsid w:val="00E238B7"/>
    <w:rsid w:val="00E3446A"/>
    <w:rsid w:val="00E372E3"/>
    <w:rsid w:val="00E52190"/>
    <w:rsid w:val="00E52FA1"/>
    <w:rsid w:val="00E54E8F"/>
    <w:rsid w:val="00E75F97"/>
    <w:rsid w:val="00E81B51"/>
    <w:rsid w:val="00E92433"/>
    <w:rsid w:val="00EB355C"/>
    <w:rsid w:val="00EB6E41"/>
    <w:rsid w:val="00ED6A20"/>
    <w:rsid w:val="00ED74F2"/>
    <w:rsid w:val="00EF6301"/>
    <w:rsid w:val="00F0097B"/>
    <w:rsid w:val="00F03507"/>
    <w:rsid w:val="00F03A83"/>
    <w:rsid w:val="00F15BD4"/>
    <w:rsid w:val="00F16E56"/>
    <w:rsid w:val="00F2626F"/>
    <w:rsid w:val="00F30879"/>
    <w:rsid w:val="00F37C78"/>
    <w:rsid w:val="00F51352"/>
    <w:rsid w:val="00F61AF3"/>
    <w:rsid w:val="00F70144"/>
    <w:rsid w:val="00F85A13"/>
    <w:rsid w:val="00F91E7E"/>
    <w:rsid w:val="00F92CA7"/>
    <w:rsid w:val="00F933D1"/>
    <w:rsid w:val="00FA3D89"/>
    <w:rsid w:val="00FB3F09"/>
    <w:rsid w:val="00FD0D1B"/>
    <w:rsid w:val="00FF7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C405"/>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Nierozpoznanawzmianka2">
    <w:name w:val="Nierozpoznana wzmianka2"/>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jaroslaw.pl" TargetMode="External"/><Relationship Id="rId13" Type="http://schemas.openxmlformats.org/officeDocument/2006/relationships/hyperlink" Target="https://platformazakupowa.pl/um_jarosla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um_jaroslaw" TargetMode="External"/><Relationship Id="rId4" Type="http://schemas.openxmlformats.org/officeDocument/2006/relationships/webSettings" Target="webSettings.xml"/><Relationship Id="rId9" Type="http://schemas.openxmlformats.org/officeDocument/2006/relationships/hyperlink" Target="mailto:iod@um.jarosl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1490</TotalTime>
  <Pages>20</Pages>
  <Words>7495</Words>
  <Characters>44971</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Paweł Dernoga</cp:lastModifiedBy>
  <cp:revision>114</cp:revision>
  <cp:lastPrinted>2025-03-28T08:54:00Z</cp:lastPrinted>
  <dcterms:created xsi:type="dcterms:W3CDTF">2022-05-11T08:51:00Z</dcterms:created>
  <dcterms:modified xsi:type="dcterms:W3CDTF">2025-06-03T08:48:00Z</dcterms:modified>
</cp:coreProperties>
</file>