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F3234" w14:textId="3D61A4FF" w:rsidR="004455EE" w:rsidRDefault="00824FF6" w:rsidP="001F12B4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Załącznik nr 4</w:t>
      </w:r>
    </w:p>
    <w:p w14:paraId="2F4B019B" w14:textId="5182F4AC" w:rsidR="001F12B4" w:rsidRPr="003354AE" w:rsidRDefault="00561634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firmy: </w:t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0DA6968" w14:textId="61354732" w:rsidR="00FA0204" w:rsidRDefault="00200575" w:rsidP="004455EE">
      <w:pPr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  <w:r w:rsidR="00FA0204">
        <w:t xml:space="preserve"> </w:t>
      </w:r>
    </w:p>
    <w:p w14:paraId="6367D013" w14:textId="77777777" w:rsidR="00824FF6" w:rsidRPr="00B36727" w:rsidRDefault="00824FF6" w:rsidP="004455EE">
      <w:pPr>
        <w:jc w:val="center"/>
      </w:pPr>
    </w:p>
    <w:p w14:paraId="04E5151E" w14:textId="77777777" w:rsidR="00824FF6" w:rsidRPr="000D42AE" w:rsidRDefault="00824FF6" w:rsidP="00824FF6">
      <w:pPr>
        <w:pStyle w:val="Akapitzlist"/>
        <w:ind w:left="1080"/>
        <w:jc w:val="center"/>
      </w:pPr>
      <w:r w:rsidRPr="000D42AE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0043F0C" w14:textId="77777777" w:rsidR="000B5408" w:rsidRDefault="000B5408" w:rsidP="000B5408">
      <w:pPr>
        <w:adjustRightInd w:val="0"/>
        <w:spacing w:line="276" w:lineRule="auto"/>
        <w:rPr>
          <w:b/>
          <w:bCs/>
        </w:rPr>
      </w:pPr>
      <w:bookmarkStart w:id="0" w:name="_Hlk63841751"/>
    </w:p>
    <w:bookmarkEnd w:id="0"/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4455E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</w:t>
      </w:r>
      <w:r w:rsidRPr="004455EE">
        <w:rPr>
          <w:lang w:eastAsia="ar-SA"/>
        </w:rPr>
        <w:t xml:space="preserve">aktualne. </w:t>
      </w:r>
    </w:p>
    <w:p w14:paraId="7028801F" w14:textId="77777777" w:rsidR="00967937" w:rsidRPr="004455EE" w:rsidRDefault="00967937" w:rsidP="00967937">
      <w:pPr>
        <w:pStyle w:val="Tekstpodstawowy"/>
        <w:spacing w:line="240" w:lineRule="auto"/>
        <w:ind w:right="-2"/>
        <w:rPr>
          <w:i/>
        </w:rPr>
      </w:pPr>
    </w:p>
    <w:p w14:paraId="53F941DF" w14:textId="380349C5" w:rsidR="004455EE" w:rsidRPr="004455EE" w:rsidRDefault="004455EE" w:rsidP="00967937">
      <w:pPr>
        <w:pStyle w:val="Tekstpodstawowy"/>
        <w:spacing w:line="240" w:lineRule="auto"/>
        <w:ind w:right="-2"/>
        <w:rPr>
          <w:i/>
        </w:rPr>
      </w:pPr>
      <w:r w:rsidRPr="004455EE">
        <w:rPr>
          <w:i/>
        </w:rPr>
        <w:t xml:space="preserve">oraz </w:t>
      </w:r>
    </w:p>
    <w:p w14:paraId="07982BB3" w14:textId="77777777" w:rsidR="004455EE" w:rsidRDefault="004455EE" w:rsidP="004455EE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F3383F4" w14:textId="77777777" w:rsidR="004455EE" w:rsidRDefault="004455EE" w:rsidP="004455EE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3659EDD9" w14:textId="77777777" w:rsidR="004455EE" w:rsidRPr="002C06BE" w:rsidRDefault="004455EE" w:rsidP="004455EE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3067F3D" w14:textId="77777777" w:rsidR="004455EE" w:rsidRPr="003F566D" w:rsidRDefault="004455EE" w:rsidP="004455EE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B4C2619" w14:textId="77777777" w:rsidR="004455EE" w:rsidRPr="003F566D" w:rsidRDefault="004455EE" w:rsidP="004455EE">
      <w:pPr>
        <w:ind w:left="567" w:hanging="567"/>
        <w:jc w:val="both"/>
      </w:pPr>
      <w:r w:rsidRPr="003F566D">
        <w:t>2)</w:t>
      </w:r>
      <w:r w:rsidRPr="003F566D">
        <w:tab/>
        <w:t xml:space="preserve"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</w:t>
      </w:r>
      <w:r w:rsidRPr="003F566D">
        <w:lastRenderedPageBreak/>
        <w:t>rzeczywistym od dnia 24 lutego 2022 r., o ile została wpisana na listę na podstawie decyzji w sprawie wpisu na listę rozstrzygającej o zastosowaniu środka, o którym mowa w art. 1 pkt 3 ww. ustawy;</w:t>
      </w:r>
    </w:p>
    <w:p w14:paraId="535E45E0" w14:textId="77777777" w:rsidR="004455EE" w:rsidRPr="003F566D" w:rsidRDefault="004455EE" w:rsidP="004455EE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2AB9670" w14:textId="77777777" w:rsidR="004455EE" w:rsidRPr="002C06BE" w:rsidRDefault="004455EE" w:rsidP="004455EE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B72E63" w14:textId="77777777" w:rsidR="004455EE" w:rsidRDefault="004455EE" w:rsidP="004455EE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</w:p>
    <w:p w14:paraId="6D7B74C9" w14:textId="77777777" w:rsidR="004455EE" w:rsidRPr="005B6671" w:rsidRDefault="004455EE" w:rsidP="004455EE">
      <w:pPr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B6671">
        <w:rPr>
          <w:rFonts w:ascii="Arial" w:hAnsi="Arial" w:cs="Arial"/>
          <w:sz w:val="20"/>
          <w:szCs w:val="20"/>
        </w:rPr>
        <w:t xml:space="preserve">   </w:t>
      </w:r>
      <w:r w:rsidRPr="003354AE">
        <w:t>Elektroniczny kwalifikowany podpis osoby/osób uprawnionych</w:t>
      </w:r>
    </w:p>
    <w:bookmarkEnd w:id="1"/>
    <w:p w14:paraId="343C47B8" w14:textId="77777777" w:rsidR="004455EE" w:rsidRPr="00E74CF6" w:rsidRDefault="004455EE" w:rsidP="004455EE">
      <w:pPr>
        <w:tabs>
          <w:tab w:val="left" w:pos="0"/>
        </w:tabs>
        <w:spacing w:line="360" w:lineRule="auto"/>
        <w:jc w:val="both"/>
        <w:rPr>
          <w:b/>
          <w:i/>
          <w:vertAlign w:val="subscript"/>
        </w:rPr>
      </w:pPr>
    </w:p>
    <w:p w14:paraId="731D74C1" w14:textId="77777777" w:rsidR="004455EE" w:rsidRDefault="004455EE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1409D118" w:rsidR="003354AE" w:rsidRPr="003354AE" w:rsidRDefault="003354AE">
      <w:r w:rsidRPr="003354AE">
        <w:tab/>
      </w:r>
      <w:r w:rsidRPr="003354AE">
        <w:tab/>
      </w:r>
      <w:r w:rsidRPr="003354AE">
        <w:tab/>
        <w:t xml:space="preserve">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408"/>
    <w:rsid w:val="000B5CD3"/>
    <w:rsid w:val="00167584"/>
    <w:rsid w:val="001730AA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4291A"/>
    <w:rsid w:val="003D4E7D"/>
    <w:rsid w:val="003E3FF6"/>
    <w:rsid w:val="004455EE"/>
    <w:rsid w:val="004808F4"/>
    <w:rsid w:val="005470A2"/>
    <w:rsid w:val="00561634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24FF6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434A0"/>
    <w:rsid w:val="00C73994"/>
    <w:rsid w:val="00C77D45"/>
    <w:rsid w:val="00CA7917"/>
    <w:rsid w:val="00CD1437"/>
    <w:rsid w:val="00CF17FD"/>
    <w:rsid w:val="00D452E5"/>
    <w:rsid w:val="00D647CA"/>
    <w:rsid w:val="00DA5EFB"/>
    <w:rsid w:val="00DB5C41"/>
    <w:rsid w:val="00E00300"/>
    <w:rsid w:val="00E004C9"/>
    <w:rsid w:val="00E7449A"/>
    <w:rsid w:val="00EF2AF9"/>
    <w:rsid w:val="00EF6BCB"/>
    <w:rsid w:val="00F0247E"/>
    <w:rsid w:val="00F71DBE"/>
    <w:rsid w:val="00FA0204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,Akapit z listą3,Akapit z listą31,Tytuły,normalny tekst,Kolorowa lista — akcent 11,Preambuła,EPL lista punktowana z wyrózneniem,A_wyliczenie"/>
    <w:basedOn w:val="Normalny"/>
    <w:link w:val="AkapitzlistZnak"/>
    <w:uiPriority w:val="1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,Akapit z listą3 Znak,Akapit z listą31 Znak,Tytuły Znak,normalny tekst Znak,Preambuła Znak"/>
    <w:link w:val="Akapitzlist"/>
    <w:uiPriority w:val="1"/>
    <w:qFormat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3</cp:revision>
  <cp:lastPrinted>2025-04-15T07:43:00Z</cp:lastPrinted>
  <dcterms:created xsi:type="dcterms:W3CDTF">2025-04-15T07:42:00Z</dcterms:created>
  <dcterms:modified xsi:type="dcterms:W3CDTF">2025-04-15T07:43:00Z</dcterms:modified>
</cp:coreProperties>
</file>